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0E" w:rsidRPr="00523862" w:rsidRDefault="006D5AA8" w:rsidP="00EB000E">
      <w:pPr>
        <w:pBdr>
          <w:top w:val="threeDEmboss" w:sz="12" w:space="1" w:color="948A54"/>
          <w:left w:val="threeDEmboss" w:sz="12" w:space="4" w:color="948A54"/>
          <w:bottom w:val="threeDEngrave" w:sz="12" w:space="1" w:color="948A54"/>
          <w:right w:val="threeDEngrave" w:sz="12" w:space="4" w:color="948A54"/>
        </w:pBdr>
        <w:bidi w:val="0"/>
        <w:spacing w:after="200"/>
        <w:jc w:val="center"/>
        <w:rPr>
          <w:b/>
          <w:bCs/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583473" wp14:editId="04E105E9">
            <wp:simplePos x="0" y="0"/>
            <wp:positionH relativeFrom="column">
              <wp:posOffset>-524786</wp:posOffset>
            </wp:positionH>
            <wp:positionV relativeFrom="paragraph">
              <wp:posOffset>-870833</wp:posOffset>
            </wp:positionV>
            <wp:extent cx="2059388" cy="834886"/>
            <wp:effectExtent l="0" t="0" r="0" b="3810"/>
            <wp:wrapNone/>
            <wp:docPr id="1" name="Picture 1" descr="Server HD:Users:Admin:Desktop:Untitled-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286203" name="Picture 3" descr="Server HD:Users:Admin:Desktop:Untitled-3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75" cy="8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0E" w:rsidRPr="00523862">
        <w:rPr>
          <w:rFonts w:ascii="Tahoma" w:hAnsi="Tahoma" w:cs="Tahoma"/>
          <w:b/>
          <w:bCs/>
        </w:rPr>
        <w:t>Nat</w:t>
      </w:r>
      <w:r w:rsidR="00EB000E">
        <w:rPr>
          <w:rFonts w:ascii="Tahoma" w:hAnsi="Tahoma" w:cs="Tahoma"/>
          <w:b/>
          <w:bCs/>
        </w:rPr>
        <w:t>i</w:t>
      </w:r>
      <w:r w:rsidR="00EB000E" w:rsidRPr="00523862">
        <w:rPr>
          <w:rFonts w:ascii="Tahoma" w:hAnsi="Tahoma" w:cs="Tahoma"/>
          <w:b/>
          <w:bCs/>
        </w:rPr>
        <w:t xml:space="preserve">onal Marine Dredging Company </w:t>
      </w:r>
      <w:r w:rsidR="00EB000E" w:rsidRPr="00523862">
        <w:rPr>
          <w:b/>
          <w:bCs/>
          <w:color w:val="000000"/>
          <w:lang w:bidi="ar-AE"/>
        </w:rPr>
        <w:t>(P.J.S.C)</w:t>
      </w:r>
      <w:r w:rsidR="00EB000E" w:rsidRPr="00523862">
        <w:rPr>
          <w:b/>
          <w:bCs/>
          <w:rtl/>
          <w:lang w:bidi="ar-AE"/>
        </w:rPr>
        <w:t xml:space="preserve">  </w:t>
      </w:r>
    </w:p>
    <w:p w:rsidR="006D5AA8" w:rsidRDefault="006D5AA8" w:rsidP="00EB000E">
      <w:pPr>
        <w:pStyle w:val="NoSpacing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B000E" w:rsidRPr="00E07D04" w:rsidRDefault="00EB000E" w:rsidP="00EB000E">
      <w:pPr>
        <w:pStyle w:val="NoSpacing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E07D04">
        <w:rPr>
          <w:rFonts w:ascii="Tahoma" w:hAnsi="Tahoma" w:cs="Tahoma"/>
          <w:b/>
          <w:bCs/>
          <w:sz w:val="20"/>
          <w:szCs w:val="20"/>
        </w:rPr>
        <w:t>Announcement on the Opening of Nomination for</w:t>
      </w:r>
    </w:p>
    <w:p w:rsidR="00EB000E" w:rsidRPr="00E07D04" w:rsidRDefault="00EB000E" w:rsidP="00EB000E">
      <w:pPr>
        <w:pStyle w:val="NoSpacing"/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E07D04">
        <w:rPr>
          <w:rFonts w:ascii="Tahoma" w:hAnsi="Tahoma" w:cs="Tahoma"/>
          <w:b/>
          <w:bCs/>
          <w:sz w:val="20"/>
          <w:szCs w:val="20"/>
        </w:rPr>
        <w:t>Membership of the Board of Directors</w:t>
      </w:r>
    </w:p>
    <w:p w:rsidR="00EB000E" w:rsidRPr="002D3593" w:rsidRDefault="00EB000E" w:rsidP="00EB000E">
      <w:pPr>
        <w:bidi w:val="0"/>
        <w:spacing w:after="200"/>
        <w:ind w:right="-180"/>
        <w:jc w:val="lowKashida"/>
        <w:rPr>
          <w:lang w:bidi="ar-AE"/>
        </w:rPr>
      </w:pPr>
      <w:bookmarkStart w:id="0" w:name="_GoBack"/>
      <w:bookmarkEnd w:id="0"/>
    </w:p>
    <w:p w:rsidR="00EB000E" w:rsidRDefault="00EB000E" w:rsidP="0030327B">
      <w:pPr>
        <w:bidi w:val="0"/>
        <w:spacing w:after="200"/>
        <w:ind w:left="26" w:right="-18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 xml:space="preserve">The Board of Directors </w:t>
      </w:r>
      <w:r>
        <w:rPr>
          <w:rFonts w:ascii="Tahoma" w:hAnsi="Tahoma" w:cs="Tahoma"/>
          <w:sz w:val="20"/>
          <w:szCs w:val="20"/>
          <w:lang w:bidi="ar-AE"/>
        </w:rPr>
        <w:t xml:space="preserve">of National Marine Dredging Company PJSC is pleased to announce to the shareholders that </w:t>
      </w:r>
      <w:r w:rsidRPr="00E07D04">
        <w:rPr>
          <w:rFonts w:ascii="Tahoma" w:hAnsi="Tahoma" w:cs="Tahoma"/>
          <w:sz w:val="20"/>
          <w:szCs w:val="20"/>
          <w:lang w:bidi="ar-AE"/>
        </w:rPr>
        <w:t>nomination</w:t>
      </w:r>
      <w:r>
        <w:rPr>
          <w:rFonts w:ascii="Tahoma" w:hAnsi="Tahoma" w:cs="Tahoma"/>
          <w:sz w:val="20"/>
          <w:szCs w:val="20"/>
          <w:lang w:bidi="ar-AE"/>
        </w:rPr>
        <w:t>s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for the Board of Directors membership </w:t>
      </w:r>
      <w:r>
        <w:rPr>
          <w:rFonts w:ascii="Tahoma" w:hAnsi="Tahoma" w:cs="Tahoma"/>
          <w:sz w:val="20"/>
          <w:szCs w:val="20"/>
          <w:lang w:bidi="ar-AE"/>
        </w:rPr>
        <w:t xml:space="preserve">are open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from </w:t>
      </w:r>
      <w:r w:rsidR="0030327B">
        <w:rPr>
          <w:rFonts w:ascii="Tahoma" w:hAnsi="Tahoma" w:cs="Tahoma"/>
          <w:b/>
          <w:bCs/>
          <w:sz w:val="20"/>
          <w:szCs w:val="20"/>
          <w:lang w:bidi="ar-AE"/>
        </w:rPr>
        <w:t>Monday</w:t>
      </w:r>
      <w:r w:rsidRPr="000C729B">
        <w:rPr>
          <w:rFonts w:ascii="Tahoma" w:hAnsi="Tahoma" w:cs="Tahoma"/>
          <w:b/>
          <w:bCs/>
          <w:sz w:val="20"/>
          <w:szCs w:val="20"/>
          <w:lang w:bidi="ar-AE"/>
        </w:rPr>
        <w:t xml:space="preserve"> 1 </w:t>
      </w:r>
      <w:r w:rsidR="0030327B">
        <w:rPr>
          <w:rFonts w:ascii="Tahoma" w:hAnsi="Tahoma" w:cs="Tahoma"/>
          <w:b/>
          <w:bCs/>
          <w:sz w:val="20"/>
          <w:szCs w:val="20"/>
          <w:lang w:bidi="ar-AE"/>
        </w:rPr>
        <w:t>April</w:t>
      </w:r>
      <w:r w:rsidRPr="000C729B">
        <w:rPr>
          <w:rFonts w:ascii="Tahoma" w:hAnsi="Tahoma" w:cs="Tahoma"/>
          <w:b/>
          <w:bCs/>
          <w:sz w:val="20"/>
          <w:szCs w:val="20"/>
          <w:lang w:bidi="ar-AE"/>
        </w:rPr>
        <w:t xml:space="preserve"> 2019 to </w:t>
      </w:r>
      <w:r w:rsidR="0030327B" w:rsidRPr="0030327B">
        <w:rPr>
          <w:rFonts w:ascii="Tahoma" w:hAnsi="Tahoma" w:cs="Tahoma"/>
          <w:b/>
          <w:bCs/>
          <w:sz w:val="20"/>
          <w:szCs w:val="20"/>
          <w:lang w:bidi="ar-AE"/>
        </w:rPr>
        <w:t>Wednesday</w:t>
      </w:r>
      <w:r w:rsidRPr="0030327B">
        <w:rPr>
          <w:rFonts w:ascii="Tahoma" w:hAnsi="Tahoma" w:cs="Tahoma"/>
          <w:sz w:val="20"/>
          <w:szCs w:val="20"/>
          <w:lang w:bidi="ar-AE"/>
        </w:rPr>
        <w:t xml:space="preserve"> </w:t>
      </w:r>
      <w:r w:rsidR="0030327B">
        <w:rPr>
          <w:rFonts w:ascii="Tahoma" w:hAnsi="Tahoma" w:cs="Tahoma" w:hint="cs"/>
          <w:b/>
          <w:bCs/>
          <w:sz w:val="20"/>
          <w:szCs w:val="20"/>
          <w:rtl/>
          <w:lang w:bidi="ar-AE"/>
        </w:rPr>
        <w:t>10</w:t>
      </w:r>
      <w:r w:rsidRPr="000C729B">
        <w:rPr>
          <w:rFonts w:ascii="Tahoma" w:hAnsi="Tahoma" w:cs="Tahoma"/>
          <w:b/>
          <w:bCs/>
          <w:sz w:val="20"/>
          <w:szCs w:val="20"/>
          <w:lang w:bidi="ar-AE"/>
        </w:rPr>
        <w:t xml:space="preserve"> April 2019</w:t>
      </w:r>
      <w:r w:rsidRPr="000C729B">
        <w:rPr>
          <w:rFonts w:ascii="Tahoma" w:hAnsi="Tahoma" w:cs="Tahoma"/>
          <w:sz w:val="20"/>
          <w:szCs w:val="20"/>
          <w:lang w:bidi="ar-AE"/>
        </w:rPr>
        <w:t>.</w:t>
      </w:r>
      <w:r w:rsidRPr="00FD3A4F">
        <w:rPr>
          <w:rFonts w:ascii="Tahoma" w:hAnsi="Tahoma" w:cs="Tahoma"/>
          <w:sz w:val="20"/>
          <w:szCs w:val="20"/>
          <w:lang w:bidi="ar-AE"/>
        </w:rPr>
        <w:t xml:space="preserve"> Any shareholder who </w:t>
      </w:r>
      <w:r>
        <w:rPr>
          <w:rFonts w:ascii="Tahoma" w:hAnsi="Tahoma" w:cs="Tahoma"/>
          <w:sz w:val="20"/>
          <w:szCs w:val="20"/>
          <w:lang w:bidi="ar-AE"/>
        </w:rPr>
        <w:t xml:space="preserve">wishes to be nominated and satisfies the nomination criteria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for Board membership </w:t>
      </w:r>
      <w:r>
        <w:rPr>
          <w:rFonts w:ascii="Tahoma" w:hAnsi="Tahoma" w:cs="Tahoma"/>
          <w:sz w:val="20"/>
          <w:szCs w:val="20"/>
          <w:lang w:bidi="ar-AE"/>
        </w:rPr>
        <w:t xml:space="preserve">must submit an application together with the required documents to the attention of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the </w:t>
      </w:r>
      <w:r>
        <w:rPr>
          <w:rFonts w:ascii="Tahoma" w:hAnsi="Tahoma" w:cs="Tahoma"/>
          <w:sz w:val="20"/>
          <w:szCs w:val="20"/>
          <w:lang w:bidi="ar-AE"/>
        </w:rPr>
        <w:t>m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anagement of the Company at its Head Office located in </w:t>
      </w:r>
      <w:r>
        <w:rPr>
          <w:rFonts w:ascii="Tahoma" w:hAnsi="Tahoma" w:cs="Tahoma"/>
          <w:sz w:val="20"/>
          <w:szCs w:val="20"/>
          <w:lang w:bidi="ar-AE"/>
        </w:rPr>
        <w:t>Mussafah Industrial</w:t>
      </w:r>
      <w:r w:rsidRPr="00E07D04">
        <w:rPr>
          <w:rFonts w:ascii="Tahoma" w:hAnsi="Tahoma" w:cs="Tahoma"/>
          <w:sz w:val="20"/>
          <w:szCs w:val="20"/>
          <w:lang w:bidi="ar-AE"/>
        </w:rPr>
        <w:t>, Emirate of</w:t>
      </w:r>
      <w:r>
        <w:rPr>
          <w:rFonts w:ascii="Tahoma" w:hAnsi="Tahoma" w:cs="Tahoma"/>
          <w:sz w:val="20"/>
          <w:szCs w:val="20"/>
          <w:lang w:bidi="ar-AE"/>
        </w:rPr>
        <w:t xml:space="preserve"> Abu Dhabi.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 The application shall enclose an introductory profile of the applicant and the capacity of membership for which he</w:t>
      </w:r>
      <w:r>
        <w:rPr>
          <w:rFonts w:ascii="Tahoma" w:hAnsi="Tahoma" w:cs="Tahoma"/>
          <w:sz w:val="20"/>
          <w:szCs w:val="20"/>
          <w:lang w:bidi="ar-AE"/>
        </w:rPr>
        <w:t xml:space="preserve"> or she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wishes to nominate himself</w:t>
      </w:r>
      <w:r>
        <w:rPr>
          <w:rFonts w:ascii="Tahoma" w:hAnsi="Tahoma" w:cs="Tahoma"/>
          <w:sz w:val="20"/>
          <w:szCs w:val="20"/>
          <w:lang w:bidi="ar-AE"/>
        </w:rPr>
        <w:t xml:space="preserve"> or herself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(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Executive </w:t>
      </w:r>
      <w:r w:rsidRPr="00E07D04">
        <w:rPr>
          <w:rFonts w:ascii="Tahoma" w:hAnsi="Tahoma" w:cs="Tahoma"/>
          <w:sz w:val="20"/>
          <w:szCs w:val="20"/>
          <w:lang w:bidi="ar-AE"/>
        </w:rPr>
        <w:t>Director/ Non-Executive Director/ Independent Director).</w:t>
      </w:r>
      <w:r>
        <w:rPr>
          <w:rFonts w:ascii="Tahoma" w:hAnsi="Tahoma" w:cs="Tahoma"/>
          <w:sz w:val="20"/>
          <w:szCs w:val="20"/>
          <w:lang w:bidi="ar-AE"/>
        </w:rPr>
        <w:t xml:space="preserve"> The applicant must also write on the </w:t>
      </w:r>
      <w:r w:rsidRPr="004D1A18">
        <w:rPr>
          <w:rFonts w:ascii="Tahoma" w:hAnsi="Tahoma" w:cs="Tahoma"/>
          <w:sz w:val="20"/>
          <w:szCs w:val="20"/>
          <w:lang w:bidi="ar-AE"/>
        </w:rPr>
        <w:t>envelope</w:t>
      </w:r>
      <w:r>
        <w:rPr>
          <w:rFonts w:ascii="Tahoma" w:hAnsi="Tahoma" w:cs="Tahoma"/>
          <w:sz w:val="20"/>
          <w:szCs w:val="20"/>
          <w:lang w:bidi="ar-AE"/>
        </w:rPr>
        <w:t xml:space="preserve"> (Nomination for Membership of Board of Directors).</w:t>
      </w:r>
      <w:r w:rsidRPr="0015009E">
        <w:t xml:space="preserve"> </w:t>
      </w:r>
      <w:r w:rsidRPr="0015009E">
        <w:rPr>
          <w:rFonts w:ascii="Tahoma" w:hAnsi="Tahoma" w:cs="Tahoma"/>
          <w:sz w:val="20"/>
          <w:szCs w:val="20"/>
          <w:lang w:bidi="ar-AE"/>
        </w:rPr>
        <w:t xml:space="preserve">The minimum number of shares </w:t>
      </w:r>
      <w:r>
        <w:rPr>
          <w:rFonts w:ascii="Tahoma" w:hAnsi="Tahoma" w:cs="Tahoma"/>
          <w:sz w:val="20"/>
          <w:szCs w:val="20"/>
          <w:lang w:bidi="ar-AE"/>
        </w:rPr>
        <w:t xml:space="preserve">owned </w:t>
      </w:r>
      <w:r w:rsidRPr="0015009E">
        <w:rPr>
          <w:rFonts w:ascii="Tahoma" w:hAnsi="Tahoma" w:cs="Tahoma"/>
          <w:sz w:val="20"/>
          <w:szCs w:val="20"/>
          <w:lang w:bidi="ar-AE"/>
        </w:rPr>
        <w:t>by the candidate or legal person represented by the candidate (if the candidate represents a legal person) shall be 200,000 shares registered in his</w:t>
      </w:r>
      <w:r>
        <w:rPr>
          <w:rFonts w:ascii="Tahoma" w:hAnsi="Tahoma" w:cs="Tahoma"/>
          <w:sz w:val="20"/>
          <w:szCs w:val="20"/>
          <w:lang w:bidi="ar-AE"/>
        </w:rPr>
        <w:t xml:space="preserve"> or her</w:t>
      </w:r>
      <w:r w:rsidRPr="0015009E">
        <w:rPr>
          <w:rFonts w:ascii="Tahoma" w:hAnsi="Tahoma" w:cs="Tahoma"/>
          <w:sz w:val="20"/>
          <w:szCs w:val="20"/>
          <w:lang w:bidi="ar-AE"/>
        </w:rPr>
        <w:t xml:space="preserve"> name or in the name of the legal person he</w:t>
      </w:r>
      <w:r>
        <w:rPr>
          <w:rFonts w:ascii="Tahoma" w:hAnsi="Tahoma" w:cs="Tahoma"/>
          <w:sz w:val="20"/>
          <w:szCs w:val="20"/>
          <w:lang w:bidi="ar-AE"/>
        </w:rPr>
        <w:t xml:space="preserve"> or she</w:t>
      </w:r>
      <w:r w:rsidRPr="0015009E">
        <w:rPr>
          <w:rFonts w:ascii="Tahoma" w:hAnsi="Tahoma" w:cs="Tahoma"/>
          <w:sz w:val="20"/>
          <w:szCs w:val="20"/>
          <w:lang w:bidi="ar-AE"/>
        </w:rPr>
        <w:t xml:space="preserve"> represents. </w:t>
      </w:r>
    </w:p>
    <w:p w:rsidR="00EB000E" w:rsidRPr="00E07D04" w:rsidRDefault="00EB000E" w:rsidP="00EB000E">
      <w:pPr>
        <w:bidi w:val="0"/>
        <w:spacing w:after="200"/>
        <w:ind w:left="26" w:right="-18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bidi="ar-AE"/>
        </w:rPr>
      </w:pPr>
    </w:p>
    <w:p w:rsidR="00EB000E" w:rsidRPr="00E07D04" w:rsidRDefault="00EB000E" w:rsidP="00EB000E">
      <w:pPr>
        <w:bidi w:val="0"/>
        <w:spacing w:after="200"/>
        <w:ind w:left="-334" w:right="-180"/>
        <w:jc w:val="lowKashida"/>
        <w:rPr>
          <w:rFonts w:ascii="Tahoma" w:hAnsi="Tahoma" w:cs="Tahoma"/>
          <w:b/>
          <w:bCs/>
          <w:color w:val="000000"/>
          <w:sz w:val="20"/>
          <w:szCs w:val="20"/>
          <w:u w:val="single"/>
          <w:lang w:bidi="ar-AE"/>
        </w:rPr>
      </w:pPr>
      <w:r w:rsidRPr="00E07D04">
        <w:rPr>
          <w:rFonts w:ascii="Tahoma" w:hAnsi="Tahoma" w:cs="Tahoma"/>
          <w:b/>
          <w:bCs/>
          <w:color w:val="000000"/>
          <w:sz w:val="20"/>
          <w:szCs w:val="20"/>
          <w:u w:val="single"/>
          <w:lang w:bidi="ar-AE"/>
        </w:rPr>
        <w:t>General Conditions: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 xml:space="preserve">The number of </w:t>
      </w:r>
      <w:r>
        <w:rPr>
          <w:rFonts w:ascii="Tahoma" w:hAnsi="Tahoma" w:cs="Tahoma"/>
          <w:sz w:val="20"/>
          <w:szCs w:val="20"/>
          <w:lang w:bidi="ar-AE"/>
        </w:rPr>
        <w:t>director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s </w:t>
      </w:r>
      <w:r>
        <w:rPr>
          <w:rFonts w:ascii="Tahoma" w:hAnsi="Tahoma" w:cs="Tahoma"/>
          <w:sz w:val="20"/>
          <w:szCs w:val="20"/>
          <w:lang w:bidi="ar-AE"/>
        </w:rPr>
        <w:t xml:space="preserve">required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to be elected </w:t>
      </w:r>
      <w:r>
        <w:rPr>
          <w:rFonts w:ascii="Tahoma" w:hAnsi="Tahoma" w:cs="Tahoma"/>
          <w:sz w:val="20"/>
          <w:szCs w:val="20"/>
          <w:lang w:bidi="ar-AE"/>
        </w:rPr>
        <w:t>for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the Board </w:t>
      </w:r>
      <w:r>
        <w:rPr>
          <w:rFonts w:ascii="Tahoma" w:hAnsi="Tahoma" w:cs="Tahoma"/>
          <w:sz w:val="20"/>
          <w:szCs w:val="20"/>
          <w:lang w:bidi="ar-AE"/>
        </w:rPr>
        <w:t>membership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is </w:t>
      </w:r>
      <w:r>
        <w:rPr>
          <w:rFonts w:ascii="Tahoma" w:hAnsi="Tahoma" w:cs="Tahoma"/>
          <w:sz w:val="20"/>
          <w:szCs w:val="20"/>
          <w:lang w:bidi="ar-AE"/>
        </w:rPr>
        <w:t>six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members.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rtl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 xml:space="preserve">Nomination </w:t>
      </w:r>
      <w:r w:rsidRPr="00E07D04">
        <w:rPr>
          <w:rFonts w:ascii="Tahoma" w:hAnsi="Tahoma" w:cs="Tahoma"/>
          <w:sz w:val="20"/>
          <w:szCs w:val="20"/>
        </w:rPr>
        <w:t>for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membership of the Board of Directors shall be open </w:t>
      </w:r>
      <w:r w:rsidR="00F553CC" w:rsidRPr="00E07D04">
        <w:rPr>
          <w:rFonts w:ascii="Tahoma" w:hAnsi="Tahoma" w:cs="Tahoma"/>
          <w:sz w:val="20"/>
          <w:szCs w:val="20"/>
          <w:lang w:bidi="ar-AE"/>
        </w:rPr>
        <w:t>for period of (10) days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from the date of announcement in accordance with the requirements of Article (40) of the SCA Board of Directors Decision No. (7/CH) of 2016 concerning the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Standards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of Institutional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Discipline </w:t>
      </w:r>
      <w:r w:rsidRPr="00E07D04">
        <w:rPr>
          <w:rFonts w:ascii="Tahoma" w:hAnsi="Tahoma" w:cs="Tahoma"/>
          <w:sz w:val="20"/>
          <w:szCs w:val="20"/>
          <w:lang w:bidi="ar-AE"/>
        </w:rPr>
        <w:t>and Governance of Public Joint-Stock Companies.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 xml:space="preserve">Those who nominate themselves for the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membership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of the Board must satisfy the conditions stipulated in Federal Law No. (2) </w:t>
      </w:r>
      <w:proofErr w:type="gramStart"/>
      <w:r w:rsidRPr="00E07D04">
        <w:rPr>
          <w:rFonts w:ascii="Tahoma" w:hAnsi="Tahoma" w:cs="Tahoma"/>
          <w:sz w:val="20"/>
          <w:szCs w:val="20"/>
          <w:lang w:bidi="ar-AE"/>
        </w:rPr>
        <w:t>of</w:t>
      </w:r>
      <w:proofErr w:type="gramEnd"/>
      <w:r w:rsidRPr="00E07D04">
        <w:rPr>
          <w:rFonts w:ascii="Tahoma" w:hAnsi="Tahoma" w:cs="Tahoma"/>
          <w:sz w:val="20"/>
          <w:szCs w:val="20"/>
          <w:lang w:bidi="ar-AE"/>
        </w:rPr>
        <w:t xml:space="preserve"> 2015 concerning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Commercial </w:t>
      </w:r>
      <w:r w:rsidRPr="00E07D04">
        <w:rPr>
          <w:rFonts w:ascii="Tahoma" w:hAnsi="Tahoma" w:cs="Tahoma"/>
          <w:sz w:val="20"/>
          <w:szCs w:val="20"/>
          <w:lang w:bidi="ar-AE"/>
        </w:rPr>
        <w:t>Companies and the SCA Board of Directors Decision No. (7/CH) of 2016</w:t>
      </w:r>
      <w:r>
        <w:rPr>
          <w:rFonts w:ascii="Tahoma" w:hAnsi="Tahoma" w:cs="Tahoma"/>
          <w:sz w:val="20"/>
          <w:szCs w:val="20"/>
          <w:lang w:bidi="ar-AE"/>
        </w:rPr>
        <w:t xml:space="preserve">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concerning the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Standards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of Institutional </w:t>
      </w:r>
      <w:r w:rsidRPr="00E07D04">
        <w:rPr>
          <w:rFonts w:ascii="Tahoma" w:hAnsi="Tahoma" w:cs="Tahoma"/>
          <w:color w:val="000000"/>
          <w:sz w:val="20"/>
          <w:szCs w:val="20"/>
        </w:rPr>
        <w:t xml:space="preserve">Discipline </w:t>
      </w:r>
      <w:r w:rsidRPr="00E07D04">
        <w:rPr>
          <w:rFonts w:ascii="Tahoma" w:hAnsi="Tahoma" w:cs="Tahoma"/>
          <w:sz w:val="20"/>
          <w:szCs w:val="20"/>
          <w:lang w:bidi="ar-AE"/>
        </w:rPr>
        <w:t>and Governance of Public Joint-Stock Companies, as well as the  Articles of Association of the Company.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>The nomination application shall enclose the documents referred to in Article (41) of the SCA Board of Directors Decision No. (7/CH) of 2016</w:t>
      </w:r>
      <w:r>
        <w:rPr>
          <w:rFonts w:ascii="Tahoma" w:hAnsi="Tahoma" w:cs="Tahoma"/>
          <w:sz w:val="20"/>
          <w:szCs w:val="20"/>
          <w:lang w:bidi="ar-AE"/>
        </w:rPr>
        <w:t xml:space="preserve"> </w:t>
      </w:r>
      <w:r w:rsidRPr="00E42ECD">
        <w:rPr>
          <w:rFonts w:ascii="Tahoma" w:hAnsi="Tahoma" w:cs="Tahoma"/>
          <w:sz w:val="20"/>
          <w:szCs w:val="20"/>
          <w:lang w:bidi="ar-AE"/>
        </w:rPr>
        <w:t>concerning the Standards of Institutional Discipline and Governance of Public Joint-Stock Companies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.  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>The candidate may not, after closing the nomination, relinquish his</w:t>
      </w:r>
      <w:r>
        <w:rPr>
          <w:rFonts w:ascii="Tahoma" w:hAnsi="Tahoma" w:cs="Tahoma"/>
          <w:sz w:val="20"/>
          <w:szCs w:val="20"/>
          <w:lang w:bidi="ar-AE"/>
        </w:rPr>
        <w:t xml:space="preserve"> or her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nomination to another person.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 w:rsidRPr="00E07D04">
        <w:rPr>
          <w:rFonts w:ascii="Tahoma" w:hAnsi="Tahoma" w:cs="Tahoma"/>
          <w:sz w:val="20"/>
          <w:szCs w:val="20"/>
          <w:lang w:bidi="ar-AE"/>
        </w:rPr>
        <w:t xml:space="preserve">The Company will </w:t>
      </w:r>
      <w:r>
        <w:rPr>
          <w:rFonts w:ascii="Tahoma" w:hAnsi="Tahoma" w:cs="Tahoma"/>
          <w:sz w:val="20"/>
          <w:szCs w:val="20"/>
          <w:lang w:bidi="ar-AE"/>
        </w:rPr>
        <w:t>announce the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names and nomination </w:t>
      </w:r>
      <w:r>
        <w:rPr>
          <w:rFonts w:ascii="Tahoma" w:hAnsi="Tahoma" w:cs="Tahoma"/>
          <w:sz w:val="20"/>
          <w:szCs w:val="20"/>
          <w:lang w:bidi="ar-AE"/>
        </w:rPr>
        <w:t xml:space="preserve">details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of the candidates </w:t>
      </w:r>
      <w:r>
        <w:rPr>
          <w:rFonts w:ascii="Tahoma" w:hAnsi="Tahoma" w:cs="Tahoma"/>
          <w:sz w:val="20"/>
          <w:szCs w:val="20"/>
          <w:lang w:bidi="ar-AE"/>
        </w:rPr>
        <w:t xml:space="preserve">fulfilling the eligibility criteria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on </w:t>
      </w:r>
      <w:r>
        <w:rPr>
          <w:rFonts w:ascii="Tahoma" w:hAnsi="Tahoma" w:cs="Tahoma"/>
          <w:sz w:val="20"/>
          <w:szCs w:val="20"/>
          <w:lang w:bidi="ar-AE"/>
        </w:rPr>
        <w:t xml:space="preserve">10 April 2019 at the announcement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board at the Company’s Head Office </w:t>
      </w:r>
      <w:r w:rsidRPr="00FD3A4F">
        <w:rPr>
          <w:rFonts w:ascii="Tahoma" w:hAnsi="Tahoma" w:cs="Tahoma"/>
          <w:sz w:val="20"/>
          <w:szCs w:val="20"/>
          <w:lang w:bidi="ar-AE"/>
        </w:rPr>
        <w:t>located in Mussafah Industrial</w:t>
      </w:r>
      <w:r>
        <w:rPr>
          <w:rFonts w:ascii="Tahoma" w:hAnsi="Tahoma" w:cs="Tahoma"/>
          <w:sz w:val="20"/>
          <w:szCs w:val="20"/>
          <w:lang w:bidi="ar-AE"/>
        </w:rPr>
        <w:t xml:space="preserve"> in the </w:t>
      </w:r>
      <w:r w:rsidRPr="00FD3A4F">
        <w:rPr>
          <w:rFonts w:ascii="Tahoma" w:hAnsi="Tahoma" w:cs="Tahoma"/>
          <w:sz w:val="20"/>
          <w:szCs w:val="20"/>
          <w:lang w:bidi="ar-AE"/>
        </w:rPr>
        <w:t>Emirate of Abu Dhabi</w:t>
      </w:r>
      <w:r>
        <w:rPr>
          <w:rFonts w:ascii="Tahoma" w:hAnsi="Tahoma" w:cs="Tahoma"/>
          <w:sz w:val="20"/>
          <w:szCs w:val="20"/>
          <w:lang w:bidi="ar-AE"/>
        </w:rPr>
        <w:t>,</w:t>
      </w:r>
      <w:r w:rsidRPr="00FD3A4F">
        <w:rPr>
          <w:rFonts w:ascii="Tahoma" w:hAnsi="Tahoma" w:cs="Tahoma"/>
          <w:sz w:val="20"/>
          <w:szCs w:val="20"/>
          <w:lang w:bidi="ar-AE"/>
        </w:rPr>
        <w:t xml:space="preserve"> 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on the Company’s </w:t>
      </w:r>
      <w:r>
        <w:rPr>
          <w:rFonts w:ascii="Tahoma" w:hAnsi="Tahoma" w:cs="Tahoma"/>
          <w:sz w:val="20"/>
          <w:szCs w:val="20"/>
          <w:lang w:bidi="ar-AE"/>
        </w:rPr>
        <w:t>w</w:t>
      </w:r>
      <w:r w:rsidRPr="00E07D04">
        <w:rPr>
          <w:rFonts w:ascii="Tahoma" w:hAnsi="Tahoma" w:cs="Tahoma"/>
          <w:sz w:val="20"/>
          <w:szCs w:val="20"/>
          <w:lang w:bidi="ar-AE"/>
        </w:rPr>
        <w:t>ebsite (</w:t>
      </w:r>
      <w:r>
        <w:rPr>
          <w:rFonts w:ascii="Tahoma" w:hAnsi="Tahoma" w:cs="Tahoma"/>
          <w:sz w:val="20"/>
          <w:szCs w:val="20"/>
          <w:lang w:bidi="ar-AE"/>
        </w:rPr>
        <w:t>www</w:t>
      </w:r>
      <w:r w:rsidRPr="00E90CE4">
        <w:rPr>
          <w:rFonts w:ascii="Tahoma" w:hAnsi="Tahoma" w:cs="Tahoma"/>
          <w:sz w:val="20"/>
          <w:szCs w:val="20"/>
          <w:lang w:bidi="ar-AE"/>
        </w:rPr>
        <w:t>.nmdc.com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) </w:t>
      </w:r>
      <w:r>
        <w:rPr>
          <w:rFonts w:ascii="Tahoma" w:hAnsi="Tahoma" w:cs="Tahoma"/>
          <w:sz w:val="20"/>
          <w:szCs w:val="20"/>
          <w:lang w:bidi="ar-AE"/>
        </w:rPr>
        <w:t>and on Abu Dhabi Securities Exchange’s website (</w:t>
      </w:r>
      <w:proofErr w:type="gramStart"/>
      <w:r>
        <w:rPr>
          <w:rFonts w:ascii="Tahoma" w:hAnsi="Tahoma" w:cs="Tahoma"/>
          <w:sz w:val="20"/>
          <w:szCs w:val="20"/>
          <w:lang w:bidi="ar-AE"/>
        </w:rPr>
        <w:t>www.adx.com )</w:t>
      </w:r>
      <w:proofErr w:type="gramEnd"/>
      <w:r>
        <w:rPr>
          <w:rFonts w:ascii="Tahoma" w:hAnsi="Tahoma" w:cs="Tahoma"/>
          <w:sz w:val="20"/>
          <w:szCs w:val="20"/>
          <w:lang w:bidi="ar-AE"/>
        </w:rPr>
        <w:t>.</w:t>
      </w:r>
    </w:p>
    <w:p w:rsidR="00EB000E" w:rsidRPr="00E07D04" w:rsidRDefault="00EB000E" w:rsidP="00EB000E">
      <w:pPr>
        <w:pStyle w:val="NoSpacing"/>
        <w:numPr>
          <w:ilvl w:val="0"/>
          <w:numId w:val="1"/>
        </w:numPr>
        <w:spacing w:after="200"/>
        <w:ind w:left="360"/>
        <w:jc w:val="both"/>
        <w:rPr>
          <w:rFonts w:ascii="Tahoma" w:hAnsi="Tahoma" w:cs="Tahoma"/>
          <w:sz w:val="20"/>
          <w:szCs w:val="20"/>
          <w:lang w:bidi="ar-AE"/>
        </w:rPr>
      </w:pPr>
      <w:r>
        <w:rPr>
          <w:rFonts w:ascii="Tahoma" w:hAnsi="Tahoma" w:cs="Tahoma"/>
          <w:sz w:val="20"/>
          <w:szCs w:val="20"/>
          <w:lang w:bidi="ar-AE"/>
        </w:rPr>
        <w:t>Emirates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Securities and Commodities Authority </w:t>
      </w:r>
      <w:r>
        <w:rPr>
          <w:rFonts w:ascii="Tahoma" w:hAnsi="Tahoma" w:cs="Tahoma"/>
          <w:sz w:val="20"/>
          <w:szCs w:val="20"/>
          <w:lang w:bidi="ar-AE"/>
        </w:rPr>
        <w:t xml:space="preserve">and </w:t>
      </w:r>
      <w:r w:rsidRPr="00FD3A4F">
        <w:rPr>
          <w:rFonts w:ascii="Tahoma" w:hAnsi="Tahoma" w:cs="Tahoma"/>
          <w:sz w:val="20"/>
          <w:szCs w:val="20"/>
          <w:lang w:bidi="ar-AE"/>
        </w:rPr>
        <w:t xml:space="preserve">Abu Dhabi Securities Exchange </w:t>
      </w:r>
      <w:r>
        <w:rPr>
          <w:rFonts w:ascii="Tahoma" w:hAnsi="Tahoma" w:cs="Tahoma"/>
          <w:sz w:val="20"/>
          <w:szCs w:val="20"/>
          <w:lang w:bidi="ar-AE"/>
        </w:rPr>
        <w:t>will be informed</w:t>
      </w:r>
      <w:r w:rsidRPr="00E07D04">
        <w:rPr>
          <w:rFonts w:ascii="Tahoma" w:hAnsi="Tahoma" w:cs="Tahoma"/>
          <w:sz w:val="20"/>
          <w:szCs w:val="20"/>
          <w:lang w:bidi="ar-AE"/>
        </w:rPr>
        <w:t xml:space="preserve"> of the candidates’ names after closing </w:t>
      </w:r>
      <w:r>
        <w:rPr>
          <w:rFonts w:ascii="Tahoma" w:hAnsi="Tahoma" w:cs="Tahoma"/>
          <w:sz w:val="20"/>
          <w:szCs w:val="20"/>
          <w:lang w:bidi="ar-AE"/>
        </w:rPr>
        <w:t xml:space="preserve">date for accepting </w:t>
      </w:r>
      <w:r w:rsidRPr="00E07D04">
        <w:rPr>
          <w:rFonts w:ascii="Tahoma" w:hAnsi="Tahoma" w:cs="Tahoma"/>
          <w:sz w:val="20"/>
          <w:szCs w:val="20"/>
          <w:lang w:bidi="ar-AE"/>
        </w:rPr>
        <w:t>nomination</w:t>
      </w:r>
      <w:r>
        <w:rPr>
          <w:rFonts w:ascii="Tahoma" w:hAnsi="Tahoma" w:cs="Tahoma"/>
          <w:sz w:val="20"/>
          <w:szCs w:val="20"/>
          <w:lang w:bidi="ar-AE"/>
        </w:rPr>
        <w:t>s</w:t>
      </w:r>
      <w:r w:rsidRPr="00E07D04">
        <w:rPr>
          <w:rFonts w:ascii="Tahoma" w:hAnsi="Tahoma" w:cs="Tahoma"/>
          <w:sz w:val="20"/>
          <w:szCs w:val="20"/>
          <w:lang w:bidi="ar-AE"/>
        </w:rPr>
        <w:t>.</w:t>
      </w:r>
    </w:p>
    <w:p w:rsidR="00EB000E" w:rsidRPr="00E07D04" w:rsidRDefault="00EB000E" w:rsidP="00EB000E">
      <w:pPr>
        <w:pStyle w:val="NoSpacing"/>
        <w:spacing w:after="200"/>
        <w:ind w:left="360"/>
        <w:rPr>
          <w:rFonts w:ascii="Tahoma" w:hAnsi="Tahoma" w:cs="Tahoma"/>
          <w:sz w:val="20"/>
          <w:szCs w:val="20"/>
          <w:lang w:bidi="ar-AE"/>
        </w:rPr>
      </w:pPr>
    </w:p>
    <w:p w:rsidR="003255BC" w:rsidRPr="00EB000E" w:rsidRDefault="003255BC"/>
    <w:sectPr w:rsidR="003255BC" w:rsidRPr="00EB000E" w:rsidSect="006D5AA8">
      <w:headerReference w:type="default" r:id="rId9"/>
      <w:pgSz w:w="11906" w:h="16838"/>
      <w:pgMar w:top="810" w:right="1440" w:bottom="1080" w:left="1440" w:header="630" w:footer="706" w:gutter="0"/>
      <w:pgBorders w:offsetFrom="page">
        <w:top w:val="threeDEmboss" w:sz="12" w:space="24" w:color="A6A6A6"/>
        <w:left w:val="threeDEmboss" w:sz="12" w:space="24" w:color="A6A6A6"/>
        <w:bottom w:val="threeDEngrave" w:sz="12" w:space="24" w:color="A6A6A6"/>
        <w:right w:val="threeDEngrave" w:sz="12" w:space="24" w:color="A6A6A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04" w:rsidRDefault="00A31D04" w:rsidP="006D5AA8">
      <w:r>
        <w:separator/>
      </w:r>
    </w:p>
  </w:endnote>
  <w:endnote w:type="continuationSeparator" w:id="0">
    <w:p w:rsidR="00A31D04" w:rsidRDefault="00A31D04" w:rsidP="006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04" w:rsidRDefault="00A31D04" w:rsidP="006D5AA8">
      <w:r>
        <w:separator/>
      </w:r>
    </w:p>
  </w:footnote>
  <w:footnote w:type="continuationSeparator" w:id="0">
    <w:p w:rsidR="00A31D04" w:rsidRDefault="00A31D04" w:rsidP="006D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A8" w:rsidRDefault="006D5AA8">
    <w:pPr>
      <w:pStyle w:val="Header"/>
    </w:pPr>
  </w:p>
  <w:p w:rsidR="006D5AA8" w:rsidRDefault="006D5AA8" w:rsidP="006D5AA8">
    <w:pPr>
      <w:pStyle w:val="Header"/>
      <w:jc w:val="right"/>
    </w:pPr>
  </w:p>
  <w:p w:rsidR="006D5AA8" w:rsidRDefault="006D5AA8">
    <w:pPr>
      <w:pStyle w:val="Header"/>
    </w:pPr>
  </w:p>
  <w:p w:rsidR="006D5AA8" w:rsidRDefault="006D5AA8">
    <w:pPr>
      <w:pStyle w:val="Header"/>
    </w:pPr>
  </w:p>
  <w:p w:rsidR="006D5AA8" w:rsidRDefault="006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01BA"/>
    <w:multiLevelType w:val="hybridMultilevel"/>
    <w:tmpl w:val="DDDA70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0E"/>
    <w:rsid w:val="0030327B"/>
    <w:rsid w:val="003255BC"/>
    <w:rsid w:val="006D5AA8"/>
    <w:rsid w:val="0088465B"/>
    <w:rsid w:val="00A31D04"/>
    <w:rsid w:val="00EB000E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000E"/>
    <w:pPr>
      <w:bidi w:val="0"/>
    </w:pPr>
  </w:style>
  <w:style w:type="paragraph" w:styleId="Header">
    <w:name w:val="header"/>
    <w:basedOn w:val="Normal"/>
    <w:link w:val="HeaderChar"/>
    <w:uiPriority w:val="99"/>
    <w:unhideWhenUsed/>
    <w:rsid w:val="006D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000E"/>
    <w:pPr>
      <w:bidi w:val="0"/>
    </w:pPr>
  </w:style>
  <w:style w:type="paragraph" w:styleId="Header">
    <w:name w:val="header"/>
    <w:basedOn w:val="Normal"/>
    <w:link w:val="HeaderChar"/>
    <w:uiPriority w:val="99"/>
    <w:unhideWhenUsed/>
    <w:rsid w:val="006D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Shalati</dc:creator>
  <cp:lastModifiedBy>Khaled Shalati</cp:lastModifiedBy>
  <cp:revision>5</cp:revision>
  <dcterms:created xsi:type="dcterms:W3CDTF">2019-03-25T07:53:00Z</dcterms:created>
  <dcterms:modified xsi:type="dcterms:W3CDTF">2019-03-31T08:30:00Z</dcterms:modified>
</cp:coreProperties>
</file>