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7" w:type="dxa"/>
          <w:right w:w="107" w:type="dxa"/>
        </w:tblCellMar>
        <w:tblLook w:val="0000" w:firstRow="0" w:lastRow="0" w:firstColumn="0" w:lastColumn="0" w:noHBand="0" w:noVBand="0"/>
      </w:tblPr>
      <w:tblGrid>
        <w:gridCol w:w="4882"/>
        <w:gridCol w:w="905"/>
        <w:gridCol w:w="4083"/>
      </w:tblGrid>
      <w:tr w:rsidR="00337219" w:rsidTr="00E834ED">
        <w:trPr>
          <w:trHeight w:val="710"/>
        </w:trPr>
        <w:tc>
          <w:tcPr>
            <w:tcW w:w="2504" w:type="pct"/>
          </w:tcPr>
          <w:p w:rsidR="00337219" w:rsidRPr="009625AF" w:rsidRDefault="00337219" w:rsidP="00E834ED">
            <w:pPr>
              <w:spacing w:line="276" w:lineRule="auto"/>
              <w:ind w:left="29" w:right="86"/>
              <w:jc w:val="right"/>
              <w:rPr>
                <w:rFonts w:ascii="Simplified Arabic" w:eastAsia="Batang" w:hAnsi="Simplified Arabic"/>
                <w:b/>
                <w:bCs/>
                <w:color w:val="000080"/>
                <w:sz w:val="28"/>
              </w:rPr>
            </w:pPr>
            <w:r w:rsidRPr="009625AF">
              <w:rPr>
                <w:rFonts w:ascii="Simplified Arabic" w:eastAsia="Batang" w:hAnsi="Simplified Arabic"/>
                <w:b/>
                <w:bCs/>
                <w:color w:val="000080"/>
                <w:sz w:val="28"/>
              </w:rPr>
              <w:t>National Marine Dredging Co.</w:t>
            </w:r>
          </w:p>
          <w:p w:rsidR="00337219" w:rsidRPr="009625AF" w:rsidRDefault="00337219" w:rsidP="00E834ED">
            <w:pPr>
              <w:spacing w:line="240" w:lineRule="exact"/>
              <w:ind w:left="35"/>
              <w:jc w:val="both"/>
              <w:rPr>
                <w:rFonts w:ascii="Simplified Arabic" w:hAnsi="Simplified Arabic"/>
                <w:lang w:bidi="ar-AE"/>
              </w:rPr>
            </w:pPr>
          </w:p>
        </w:tc>
        <w:tc>
          <w:tcPr>
            <w:tcW w:w="397" w:type="pct"/>
          </w:tcPr>
          <w:p w:rsidR="00337219" w:rsidRPr="009625AF" w:rsidRDefault="00337219" w:rsidP="00E834ED">
            <w:pPr>
              <w:spacing w:line="288" w:lineRule="atLeast"/>
              <w:jc w:val="both"/>
              <w:rPr>
                <w:rFonts w:ascii="Simplified Arabic" w:hAnsi="Simplified Arabic"/>
              </w:rPr>
            </w:pPr>
            <w:r>
              <w:rPr>
                <w:rFonts w:ascii="Simplified Arabic" w:hAnsi="Simplified Arabic"/>
                <w:b/>
                <w:bCs/>
                <w:noProof/>
              </w:rPr>
              <w:drawing>
                <wp:inline distT="0" distB="0" distL="0" distR="0" wp14:anchorId="0F4F7642" wp14:editId="76787F91">
                  <wp:extent cx="438785" cy="42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224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8785" cy="424180"/>
                          </a:xfrm>
                          <a:prstGeom prst="rect">
                            <a:avLst/>
                          </a:prstGeom>
                          <a:noFill/>
                          <a:ln>
                            <a:noFill/>
                          </a:ln>
                        </pic:spPr>
                      </pic:pic>
                    </a:graphicData>
                  </a:graphic>
                </wp:inline>
              </w:drawing>
            </w:r>
          </w:p>
        </w:tc>
        <w:tc>
          <w:tcPr>
            <w:tcW w:w="2099" w:type="pct"/>
          </w:tcPr>
          <w:p w:rsidR="00337219" w:rsidRPr="009625AF" w:rsidRDefault="00337219" w:rsidP="00E834ED">
            <w:pPr>
              <w:pStyle w:val="Heading2"/>
              <w:bidi/>
              <w:ind w:left="450" w:hanging="132"/>
              <w:jc w:val="both"/>
              <w:rPr>
                <w:rFonts w:ascii="Simplified Arabic" w:hAnsi="Simplified Arabic" w:cs="Simplified Arabic"/>
                <w:bCs/>
                <w:color w:val="000080"/>
                <w:sz w:val="4"/>
                <w:szCs w:val="8"/>
                <w:lang w:val="en-US" w:eastAsia="ar-SA"/>
              </w:rPr>
            </w:pPr>
          </w:p>
          <w:p w:rsidR="00337219" w:rsidRPr="009625AF" w:rsidRDefault="00337219" w:rsidP="00E834ED">
            <w:pPr>
              <w:pStyle w:val="Heading2"/>
              <w:bidi/>
              <w:ind w:left="177" w:hanging="142"/>
              <w:rPr>
                <w:rFonts w:ascii="Simplified Arabic" w:hAnsi="Simplified Arabic" w:cs="Simplified Arabic"/>
                <w:bCs/>
                <w:color w:val="000080"/>
                <w:sz w:val="30"/>
                <w:szCs w:val="30"/>
                <w:rtl/>
                <w:lang w:val="en-US" w:eastAsia="ar-SA" w:bidi="ar-AE"/>
              </w:rPr>
            </w:pPr>
            <w:r w:rsidRPr="009625AF">
              <w:rPr>
                <w:rFonts w:ascii="Simplified Arabic" w:hAnsi="Simplified Arabic" w:cs="Simplified Arabic"/>
                <w:bCs/>
                <w:color w:val="000080"/>
                <w:sz w:val="30"/>
                <w:szCs w:val="30"/>
                <w:rtl/>
                <w:lang w:val="en-US" w:eastAsia="ar-SA"/>
              </w:rPr>
              <w:t>شــركة الجرافــات البحريــة الوطنيــة</w:t>
            </w:r>
          </w:p>
          <w:p w:rsidR="00337219" w:rsidRPr="009625AF" w:rsidRDefault="00337219" w:rsidP="00E834ED">
            <w:pPr>
              <w:pStyle w:val="Heading2"/>
              <w:bidi/>
              <w:ind w:left="177" w:hanging="142"/>
              <w:jc w:val="both"/>
              <w:rPr>
                <w:rFonts w:ascii="Simplified Arabic" w:hAnsi="Simplified Arabic" w:cs="Simplified Arabic"/>
                <w:sz w:val="36"/>
                <w:szCs w:val="36"/>
              </w:rPr>
            </w:pPr>
          </w:p>
        </w:tc>
      </w:tr>
    </w:tbl>
    <w:p w:rsidR="00337219" w:rsidRPr="00B825F0" w:rsidRDefault="00337219" w:rsidP="00337219">
      <w:pPr>
        <w:jc w:val="center"/>
        <w:rPr>
          <w:rFonts w:cs="Khalid Art bold"/>
          <w:color w:val="000066"/>
          <w:szCs w:val="30"/>
          <w:u w:val="single"/>
        </w:rPr>
      </w:pPr>
      <w:r w:rsidRPr="00B825F0">
        <w:rPr>
          <w:rFonts w:cs="Khalid Art bold"/>
          <w:color w:val="000066"/>
          <w:szCs w:val="30"/>
          <w:u w:val="single"/>
        </w:rPr>
        <w:t xml:space="preserve">Invitation to </w:t>
      </w:r>
      <w:r>
        <w:rPr>
          <w:rFonts w:cs="Khalid Art bold"/>
          <w:color w:val="000066"/>
          <w:szCs w:val="30"/>
          <w:u w:val="single"/>
        </w:rPr>
        <w:t>A</w:t>
      </w:r>
      <w:r w:rsidRPr="00B825F0">
        <w:rPr>
          <w:rFonts w:cs="Khalid Art bold"/>
          <w:color w:val="000066"/>
          <w:szCs w:val="30"/>
          <w:u w:val="single"/>
        </w:rPr>
        <w:t xml:space="preserve">ttend the Annual General </w:t>
      </w:r>
      <w:r>
        <w:rPr>
          <w:rFonts w:cs="Khalid Art bold"/>
          <w:color w:val="000066"/>
          <w:szCs w:val="30"/>
          <w:u w:val="single"/>
        </w:rPr>
        <w:t xml:space="preserve">Assembly </w:t>
      </w:r>
      <w:r w:rsidRPr="00B825F0">
        <w:rPr>
          <w:rFonts w:cs="Khalid Art bold"/>
          <w:color w:val="000066"/>
          <w:szCs w:val="30"/>
          <w:u w:val="single"/>
        </w:rPr>
        <w:t xml:space="preserve">Meeting </w:t>
      </w:r>
    </w:p>
    <w:p w:rsidR="00337219" w:rsidRPr="00B825F0" w:rsidRDefault="00337219" w:rsidP="00337219">
      <w:pPr>
        <w:jc w:val="center"/>
        <w:rPr>
          <w:rFonts w:asciiTheme="majorBidi" w:hAnsiTheme="majorBidi" w:cstheme="majorBidi"/>
          <w:b/>
          <w:bCs/>
          <w:sz w:val="22"/>
          <w:szCs w:val="22"/>
          <w:u w:val="single"/>
          <w:rtl/>
          <w:lang w:bidi="ar-AE"/>
        </w:rPr>
      </w:pPr>
      <w:bookmarkStart w:id="0" w:name="_GoBack"/>
      <w:bookmarkEnd w:id="0"/>
      <w:r>
        <w:rPr>
          <w:rFonts w:cs="Khalid Art bold"/>
          <w:color w:val="000066"/>
          <w:szCs w:val="30"/>
          <w:u w:val="single"/>
        </w:rPr>
        <w:t>Of</w:t>
      </w:r>
      <w:r w:rsidRPr="00B825F0">
        <w:rPr>
          <w:rFonts w:cs="Khalid Art bold"/>
          <w:color w:val="000066"/>
          <w:szCs w:val="30"/>
          <w:u w:val="single"/>
        </w:rPr>
        <w:t xml:space="preserve"> National Marine Dredging Company </w:t>
      </w:r>
      <w:r w:rsidRPr="00F54537">
        <w:rPr>
          <w:rFonts w:cs="Khalid Art bold"/>
          <w:color w:val="000066"/>
          <w:szCs w:val="30"/>
          <w:u w:val="single"/>
        </w:rPr>
        <w:t>PJSC</w:t>
      </w:r>
    </w:p>
    <w:p w:rsidR="00337219" w:rsidRPr="003910C9" w:rsidRDefault="00337219" w:rsidP="00337219">
      <w:pPr>
        <w:bidi w:val="0"/>
        <w:jc w:val="both"/>
        <w:rPr>
          <w:rFonts w:asciiTheme="majorBidi" w:hAnsiTheme="majorBidi" w:cstheme="majorBidi"/>
          <w:b/>
          <w:bCs/>
          <w:sz w:val="20"/>
          <w:szCs w:val="20"/>
          <w:u w:val="single"/>
          <w:rtl/>
          <w:lang w:bidi="ar-AE"/>
        </w:rPr>
      </w:pPr>
    </w:p>
    <w:p w:rsidR="00337219" w:rsidRPr="003910C9" w:rsidRDefault="00337219" w:rsidP="00337219">
      <w:pPr>
        <w:pStyle w:val="NoSpacing"/>
        <w:bidi w:val="0"/>
        <w:jc w:val="both"/>
        <w:rPr>
          <w:rFonts w:asciiTheme="majorBidi" w:hAnsiTheme="majorBidi" w:cstheme="majorBidi"/>
          <w:sz w:val="20"/>
          <w:szCs w:val="20"/>
          <w:rtl/>
          <w:lang w:bidi="ar-AE"/>
        </w:rPr>
      </w:pPr>
      <w:r w:rsidRPr="003910C9">
        <w:rPr>
          <w:rFonts w:asciiTheme="majorBidi" w:hAnsiTheme="majorBidi" w:cstheme="majorBidi"/>
          <w:sz w:val="20"/>
          <w:szCs w:val="20"/>
          <w:lang w:bidi="ar-AE"/>
        </w:rPr>
        <w:t>The Board of Directors of National Marine Dredging Company PJSC</w:t>
      </w:r>
      <w:r>
        <w:rPr>
          <w:rFonts w:asciiTheme="majorBidi" w:hAnsiTheme="majorBidi" w:cstheme="majorBidi"/>
          <w:sz w:val="20"/>
          <w:szCs w:val="20"/>
          <w:lang w:bidi="ar-AE"/>
        </w:rPr>
        <w:t xml:space="preserve"> (the </w:t>
      </w:r>
      <w:r w:rsidRPr="00E834ED">
        <w:rPr>
          <w:rFonts w:asciiTheme="majorBidi" w:hAnsiTheme="majorBidi" w:cstheme="majorBidi"/>
          <w:b/>
          <w:bCs/>
          <w:sz w:val="20"/>
          <w:szCs w:val="20"/>
          <w:lang w:bidi="ar-AE"/>
        </w:rPr>
        <w:t>Company</w:t>
      </w:r>
      <w:r>
        <w:rPr>
          <w:rFonts w:asciiTheme="majorBidi" w:hAnsiTheme="majorBidi" w:cstheme="majorBidi"/>
          <w:sz w:val="20"/>
          <w:szCs w:val="20"/>
          <w:lang w:bidi="ar-AE"/>
        </w:rPr>
        <w:t>)</w:t>
      </w:r>
      <w:r w:rsidRPr="003910C9">
        <w:rPr>
          <w:rFonts w:asciiTheme="majorBidi" w:hAnsiTheme="majorBidi" w:cstheme="majorBidi"/>
          <w:sz w:val="20"/>
          <w:szCs w:val="20"/>
          <w:lang w:bidi="ar-AE"/>
        </w:rPr>
        <w:t xml:space="preserve"> </w:t>
      </w:r>
      <w:r>
        <w:rPr>
          <w:rFonts w:asciiTheme="majorBidi" w:hAnsiTheme="majorBidi" w:cstheme="majorBidi"/>
          <w:sz w:val="20"/>
          <w:szCs w:val="20"/>
          <w:lang w:bidi="ar-AE"/>
        </w:rPr>
        <w:t>is pleased</w:t>
      </w:r>
      <w:r w:rsidRPr="003910C9">
        <w:rPr>
          <w:rFonts w:asciiTheme="majorBidi" w:hAnsiTheme="majorBidi" w:cstheme="majorBidi"/>
          <w:sz w:val="20"/>
          <w:szCs w:val="20"/>
          <w:lang w:bidi="ar-AE"/>
        </w:rPr>
        <w:t xml:space="preserve"> to invite the shareholders to attend the </w:t>
      </w:r>
      <w:r>
        <w:rPr>
          <w:rFonts w:asciiTheme="majorBidi" w:hAnsiTheme="majorBidi" w:cstheme="majorBidi"/>
          <w:sz w:val="20"/>
          <w:szCs w:val="20"/>
          <w:lang w:bidi="ar-AE"/>
        </w:rPr>
        <w:t>A</w:t>
      </w:r>
      <w:r w:rsidRPr="003910C9">
        <w:rPr>
          <w:rFonts w:asciiTheme="majorBidi" w:hAnsiTheme="majorBidi" w:cstheme="majorBidi"/>
          <w:sz w:val="20"/>
          <w:szCs w:val="20"/>
          <w:lang w:bidi="ar-AE"/>
        </w:rPr>
        <w:t xml:space="preserve">nnual General </w:t>
      </w:r>
      <w:r>
        <w:rPr>
          <w:rFonts w:asciiTheme="majorBidi" w:hAnsiTheme="majorBidi" w:cstheme="majorBidi"/>
          <w:sz w:val="20"/>
          <w:szCs w:val="20"/>
          <w:lang w:bidi="ar-AE"/>
        </w:rPr>
        <w:t>Assembly M</w:t>
      </w:r>
      <w:r w:rsidRPr="003910C9">
        <w:rPr>
          <w:rFonts w:asciiTheme="majorBidi" w:hAnsiTheme="majorBidi" w:cstheme="majorBidi"/>
          <w:sz w:val="20"/>
          <w:szCs w:val="20"/>
          <w:lang w:bidi="ar-AE"/>
        </w:rPr>
        <w:t xml:space="preserve">eeting </w:t>
      </w:r>
      <w:r>
        <w:rPr>
          <w:rFonts w:asciiTheme="majorBidi" w:hAnsiTheme="majorBidi" w:cstheme="majorBidi"/>
          <w:sz w:val="20"/>
          <w:szCs w:val="20"/>
          <w:lang w:bidi="ar-AE"/>
        </w:rPr>
        <w:t xml:space="preserve">to be held </w:t>
      </w:r>
      <w:r w:rsidRPr="003910C9">
        <w:rPr>
          <w:rFonts w:asciiTheme="majorBidi" w:hAnsiTheme="majorBidi" w:cstheme="majorBidi"/>
          <w:sz w:val="20"/>
          <w:szCs w:val="20"/>
          <w:lang w:bidi="ar-AE"/>
        </w:rPr>
        <w:t xml:space="preserve">on </w:t>
      </w:r>
      <w:r>
        <w:rPr>
          <w:rFonts w:asciiTheme="majorBidi" w:hAnsiTheme="majorBidi" w:cstheme="majorBidi"/>
          <w:sz w:val="20"/>
          <w:szCs w:val="20"/>
          <w:lang w:bidi="ar-AE"/>
        </w:rPr>
        <w:t xml:space="preserve">Sunday 21 April </w:t>
      </w:r>
      <w:r w:rsidRPr="003910C9">
        <w:rPr>
          <w:rFonts w:asciiTheme="majorBidi" w:hAnsiTheme="majorBidi" w:cstheme="majorBidi"/>
          <w:sz w:val="20"/>
          <w:szCs w:val="20"/>
          <w:lang w:bidi="ar-AE"/>
        </w:rPr>
        <w:t>2019 at</w:t>
      </w:r>
      <w:r>
        <w:rPr>
          <w:rFonts w:asciiTheme="majorBidi" w:hAnsiTheme="majorBidi" w:cstheme="majorBidi"/>
          <w:sz w:val="20"/>
          <w:szCs w:val="20"/>
          <w:lang w:bidi="ar-AE"/>
        </w:rPr>
        <w:t xml:space="preserve"> 4:00 pm at the Abu</w:t>
      </w:r>
      <w:r w:rsidRPr="0054587B">
        <w:rPr>
          <w:rFonts w:asciiTheme="majorBidi" w:hAnsiTheme="majorBidi" w:cstheme="majorBidi"/>
          <w:sz w:val="20"/>
          <w:szCs w:val="20"/>
          <w:lang w:bidi="ar-AE"/>
        </w:rPr>
        <w:t xml:space="preserve"> Dhabi Chamber of Commerce and Industry</w:t>
      </w:r>
      <w:r>
        <w:rPr>
          <w:rFonts w:asciiTheme="majorBidi" w:hAnsiTheme="majorBidi" w:cstheme="majorBidi"/>
          <w:sz w:val="20"/>
          <w:szCs w:val="20"/>
          <w:lang w:bidi="ar-AE"/>
        </w:rPr>
        <w:t xml:space="preserve"> to </w:t>
      </w:r>
      <w:r w:rsidRPr="003910C9">
        <w:rPr>
          <w:rFonts w:asciiTheme="majorBidi" w:hAnsiTheme="majorBidi" w:cstheme="majorBidi"/>
          <w:sz w:val="20"/>
          <w:szCs w:val="20"/>
          <w:lang w:bidi="ar-AE"/>
        </w:rPr>
        <w:t>consider the following</w:t>
      </w:r>
      <w:r>
        <w:rPr>
          <w:rFonts w:asciiTheme="majorBidi" w:hAnsiTheme="majorBidi" w:cstheme="majorBidi"/>
          <w:sz w:val="20"/>
          <w:szCs w:val="20"/>
          <w:lang w:bidi="ar-AE"/>
        </w:rPr>
        <w:t xml:space="preserve"> items</w:t>
      </w:r>
      <w:r w:rsidRPr="003910C9">
        <w:rPr>
          <w:rFonts w:asciiTheme="majorBidi" w:hAnsiTheme="majorBidi" w:cstheme="majorBidi"/>
          <w:sz w:val="20"/>
          <w:szCs w:val="20"/>
          <w:lang w:bidi="ar-AE"/>
        </w:rPr>
        <w:t>:</w:t>
      </w:r>
    </w:p>
    <w:p w:rsidR="00337219" w:rsidRPr="003910C9" w:rsidRDefault="00337219" w:rsidP="00337219">
      <w:pPr>
        <w:spacing w:line="288" w:lineRule="auto"/>
        <w:ind w:left="360" w:right="-180"/>
        <w:jc w:val="both"/>
        <w:rPr>
          <w:rFonts w:asciiTheme="majorBidi" w:hAnsiTheme="majorBidi" w:cstheme="majorBidi"/>
          <w:sz w:val="20"/>
          <w:szCs w:val="20"/>
          <w:lang w:bidi="ar-AE"/>
        </w:rPr>
      </w:pPr>
    </w:p>
    <w:p w:rsidR="00337219" w:rsidRPr="005F60EE"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 xml:space="preserve">Review and approve the </w:t>
      </w:r>
      <w:r>
        <w:rPr>
          <w:rFonts w:asciiTheme="majorBidi" w:hAnsiTheme="majorBidi" w:cstheme="majorBidi"/>
          <w:sz w:val="20"/>
          <w:szCs w:val="20"/>
          <w:lang w:bidi="ar-AE"/>
        </w:rPr>
        <w:t xml:space="preserve">report of the </w:t>
      </w:r>
      <w:r w:rsidRPr="00850096">
        <w:rPr>
          <w:rFonts w:asciiTheme="majorBidi" w:hAnsiTheme="majorBidi" w:cstheme="majorBidi"/>
          <w:sz w:val="20"/>
          <w:szCs w:val="20"/>
          <w:lang w:bidi="ar-AE"/>
        </w:rPr>
        <w:t>Board of Directors</w:t>
      </w:r>
      <w:r>
        <w:rPr>
          <w:rFonts w:asciiTheme="majorBidi" w:hAnsiTheme="majorBidi" w:cstheme="majorBidi"/>
          <w:sz w:val="20"/>
          <w:szCs w:val="20"/>
          <w:lang w:bidi="ar-AE"/>
        </w:rPr>
        <w:t xml:space="preserve"> </w:t>
      </w:r>
      <w:r w:rsidRPr="00850096">
        <w:rPr>
          <w:rFonts w:asciiTheme="majorBidi" w:hAnsiTheme="majorBidi" w:cstheme="majorBidi"/>
          <w:sz w:val="20"/>
          <w:szCs w:val="20"/>
          <w:lang w:bidi="ar-AE"/>
        </w:rPr>
        <w:t>on the Company’s activit</w:t>
      </w:r>
      <w:r>
        <w:rPr>
          <w:rFonts w:asciiTheme="majorBidi" w:hAnsiTheme="majorBidi" w:cstheme="majorBidi"/>
          <w:sz w:val="20"/>
          <w:szCs w:val="20"/>
          <w:lang w:bidi="ar-AE"/>
        </w:rPr>
        <w:t>ies</w:t>
      </w:r>
      <w:r w:rsidRPr="00850096">
        <w:rPr>
          <w:rFonts w:asciiTheme="majorBidi" w:hAnsiTheme="majorBidi" w:cstheme="majorBidi"/>
          <w:sz w:val="20"/>
          <w:szCs w:val="20"/>
          <w:lang w:bidi="ar-AE"/>
        </w:rPr>
        <w:t xml:space="preserve"> and its financial position for </w:t>
      </w:r>
      <w:r>
        <w:rPr>
          <w:rFonts w:asciiTheme="majorBidi" w:hAnsiTheme="majorBidi" w:cstheme="majorBidi"/>
          <w:sz w:val="20"/>
          <w:szCs w:val="20"/>
          <w:lang w:bidi="ar-AE"/>
        </w:rPr>
        <w:t xml:space="preserve">the financial </w:t>
      </w:r>
      <w:r w:rsidRPr="00850096">
        <w:rPr>
          <w:rFonts w:asciiTheme="majorBidi" w:hAnsiTheme="majorBidi" w:cstheme="majorBidi"/>
          <w:sz w:val="20"/>
          <w:szCs w:val="20"/>
          <w:lang w:bidi="ar-AE"/>
        </w:rPr>
        <w:t>year ended on 31</w:t>
      </w:r>
      <w:r>
        <w:rPr>
          <w:rFonts w:asciiTheme="majorBidi" w:hAnsiTheme="majorBidi" w:cstheme="majorBidi"/>
          <w:sz w:val="20"/>
          <w:szCs w:val="20"/>
          <w:lang w:bidi="ar-AE"/>
        </w:rPr>
        <w:t xml:space="preserve"> </w:t>
      </w:r>
      <w:r w:rsidRPr="005F60EE">
        <w:rPr>
          <w:rFonts w:asciiTheme="majorBidi" w:hAnsiTheme="majorBidi" w:cstheme="majorBidi"/>
          <w:sz w:val="20"/>
          <w:szCs w:val="20"/>
          <w:lang w:bidi="ar-AE"/>
        </w:rPr>
        <w:t>December 2018.</w:t>
      </w:r>
    </w:p>
    <w:p w:rsidR="00337219" w:rsidRPr="005F60EE"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5F60EE">
        <w:rPr>
          <w:rFonts w:asciiTheme="majorBidi" w:hAnsiTheme="majorBidi" w:cstheme="majorBidi"/>
          <w:sz w:val="20"/>
          <w:szCs w:val="20"/>
          <w:lang w:bidi="ar-AE"/>
        </w:rPr>
        <w:t xml:space="preserve">Review and approve the report of the </w:t>
      </w:r>
      <w:r w:rsidRPr="003C5415">
        <w:rPr>
          <w:rFonts w:asciiTheme="majorBidi" w:hAnsiTheme="majorBidi" w:cstheme="majorBidi"/>
          <w:sz w:val="20"/>
          <w:szCs w:val="20"/>
          <w:lang w:bidi="ar-AE"/>
        </w:rPr>
        <w:t>auditor for the financial year ended</w:t>
      </w:r>
      <w:r w:rsidRPr="005815E5">
        <w:rPr>
          <w:rFonts w:asciiTheme="majorBidi" w:hAnsiTheme="majorBidi" w:cstheme="majorBidi"/>
          <w:sz w:val="20"/>
          <w:szCs w:val="20"/>
          <w:lang w:bidi="ar-AE"/>
        </w:rPr>
        <w:t xml:space="preserve"> on </w:t>
      </w:r>
      <w:r w:rsidRPr="005F60EE">
        <w:rPr>
          <w:rFonts w:asciiTheme="majorBidi" w:hAnsiTheme="majorBidi" w:cstheme="majorBidi"/>
          <w:sz w:val="20"/>
          <w:szCs w:val="20"/>
          <w:lang w:bidi="ar-AE"/>
        </w:rPr>
        <w:t>31 December 2018.</w:t>
      </w:r>
    </w:p>
    <w:p w:rsidR="00337219" w:rsidRPr="005F60EE"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5F60EE">
        <w:rPr>
          <w:rFonts w:asciiTheme="majorBidi" w:hAnsiTheme="majorBidi" w:cstheme="majorBidi"/>
          <w:sz w:val="20"/>
          <w:szCs w:val="20"/>
          <w:lang w:bidi="ar-AE"/>
        </w:rPr>
        <w:t>Discuss and approve the Company’s balance sheet and its profit and loss account for the financial year ended on 31 December 2018.</w:t>
      </w:r>
    </w:p>
    <w:p w:rsidR="00337219" w:rsidRPr="00850096"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5F60EE">
        <w:rPr>
          <w:rFonts w:asciiTheme="majorBidi" w:hAnsiTheme="majorBidi" w:cstheme="majorBidi"/>
          <w:sz w:val="20"/>
          <w:szCs w:val="20"/>
          <w:lang w:bidi="ar-AE"/>
        </w:rPr>
        <w:t>Consider and approve the Board of Directors</w:t>
      </w:r>
      <w:r>
        <w:rPr>
          <w:rFonts w:asciiTheme="majorBidi" w:hAnsiTheme="majorBidi" w:cstheme="majorBidi"/>
          <w:sz w:val="20"/>
          <w:szCs w:val="20"/>
          <w:lang w:bidi="ar-AE"/>
        </w:rPr>
        <w:t>’ proposal</w:t>
      </w:r>
      <w:r w:rsidRPr="003C5415">
        <w:rPr>
          <w:rFonts w:asciiTheme="majorBidi" w:hAnsiTheme="majorBidi" w:cstheme="majorBidi"/>
          <w:sz w:val="20"/>
          <w:szCs w:val="20"/>
          <w:lang w:bidi="ar-AE"/>
        </w:rPr>
        <w:t xml:space="preserve"> to distribute </w:t>
      </w:r>
      <w:r w:rsidRPr="00E834ED">
        <w:rPr>
          <w:rFonts w:asciiTheme="majorBidi" w:hAnsiTheme="majorBidi" w:cstheme="majorBidi"/>
          <w:sz w:val="20"/>
          <w:szCs w:val="20"/>
          <w:lang w:bidi="ar-AE"/>
        </w:rPr>
        <w:t>22%</w:t>
      </w:r>
      <w:r w:rsidRPr="005F60EE">
        <w:rPr>
          <w:rFonts w:asciiTheme="majorBidi" w:hAnsiTheme="majorBidi" w:cstheme="majorBidi"/>
          <w:sz w:val="20"/>
          <w:szCs w:val="20"/>
          <w:lang w:bidi="ar-AE"/>
        </w:rPr>
        <w:t xml:space="preserve"> of the share capital as cash dividends which is equivalent to AED </w:t>
      </w:r>
      <w:r w:rsidRPr="00E834ED">
        <w:rPr>
          <w:rFonts w:asciiTheme="majorBidi" w:hAnsiTheme="majorBidi" w:cstheme="majorBidi"/>
          <w:sz w:val="20"/>
          <w:szCs w:val="20"/>
          <w:lang w:bidi="ar-AE"/>
        </w:rPr>
        <w:t>55,000,000</w:t>
      </w:r>
      <w:r w:rsidRPr="005F60EE">
        <w:rPr>
          <w:rFonts w:asciiTheme="majorBidi" w:hAnsiTheme="majorBidi" w:cstheme="majorBidi"/>
          <w:sz w:val="20"/>
          <w:szCs w:val="20"/>
          <w:lang w:bidi="ar-AE"/>
        </w:rPr>
        <w:t xml:space="preserve"> for the</w:t>
      </w:r>
      <w:r w:rsidRPr="00850096">
        <w:rPr>
          <w:rFonts w:asciiTheme="majorBidi" w:hAnsiTheme="majorBidi" w:cstheme="majorBidi"/>
          <w:sz w:val="20"/>
          <w:szCs w:val="20"/>
          <w:lang w:bidi="ar-AE"/>
        </w:rPr>
        <w:t xml:space="preserve"> financial year </w:t>
      </w:r>
      <w:r>
        <w:rPr>
          <w:rFonts w:asciiTheme="majorBidi" w:hAnsiTheme="majorBidi" w:cstheme="majorBidi"/>
          <w:sz w:val="20"/>
          <w:szCs w:val="20"/>
          <w:lang w:bidi="ar-AE"/>
        </w:rPr>
        <w:t xml:space="preserve">ended on </w:t>
      </w:r>
      <w:r w:rsidRPr="0057705C">
        <w:rPr>
          <w:rFonts w:asciiTheme="majorBidi" w:hAnsiTheme="majorBidi" w:cstheme="majorBidi"/>
          <w:sz w:val="20"/>
          <w:szCs w:val="20"/>
          <w:lang w:bidi="ar-AE"/>
        </w:rPr>
        <w:t>31 December 2018</w:t>
      </w:r>
      <w:r>
        <w:rPr>
          <w:rFonts w:asciiTheme="majorBidi" w:hAnsiTheme="majorBidi" w:cstheme="majorBidi"/>
          <w:sz w:val="20"/>
          <w:szCs w:val="20"/>
          <w:lang w:bidi="ar-AE"/>
        </w:rPr>
        <w:t>.</w:t>
      </w:r>
    </w:p>
    <w:p w:rsidR="00337219" w:rsidRPr="00850096"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 xml:space="preserve">Consider the proposal regarding the remuneration of the Board Directors for the </w:t>
      </w:r>
      <w:r>
        <w:rPr>
          <w:rFonts w:asciiTheme="majorBidi" w:hAnsiTheme="majorBidi" w:cstheme="majorBidi"/>
          <w:sz w:val="20"/>
          <w:szCs w:val="20"/>
          <w:lang w:bidi="ar-AE"/>
        </w:rPr>
        <w:t xml:space="preserve">financial </w:t>
      </w:r>
      <w:r w:rsidRPr="00850096">
        <w:rPr>
          <w:rFonts w:asciiTheme="majorBidi" w:hAnsiTheme="majorBidi" w:cstheme="majorBidi"/>
          <w:sz w:val="20"/>
          <w:szCs w:val="20"/>
          <w:lang w:bidi="ar-AE"/>
        </w:rPr>
        <w:t xml:space="preserve">year ended on </w:t>
      </w:r>
      <w:r w:rsidRPr="0057705C">
        <w:rPr>
          <w:rFonts w:asciiTheme="majorBidi" w:hAnsiTheme="majorBidi" w:cstheme="majorBidi"/>
          <w:sz w:val="20"/>
          <w:szCs w:val="20"/>
          <w:lang w:bidi="ar-AE"/>
        </w:rPr>
        <w:t>31 December 2018</w:t>
      </w:r>
      <w:r w:rsidRPr="00850096">
        <w:rPr>
          <w:rFonts w:asciiTheme="majorBidi" w:hAnsiTheme="majorBidi" w:cstheme="majorBidi"/>
          <w:sz w:val="20"/>
          <w:szCs w:val="20"/>
          <w:lang w:bidi="ar-AE"/>
        </w:rPr>
        <w:t xml:space="preserve"> and to determine such remuneration.  </w:t>
      </w:r>
    </w:p>
    <w:p w:rsidR="00337219" w:rsidRPr="00850096"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 xml:space="preserve">Absolve the </w:t>
      </w:r>
      <w:r>
        <w:rPr>
          <w:rFonts w:asciiTheme="majorBidi" w:hAnsiTheme="majorBidi" w:cstheme="majorBidi"/>
          <w:sz w:val="20"/>
          <w:szCs w:val="20"/>
          <w:lang w:bidi="ar-AE"/>
        </w:rPr>
        <w:t xml:space="preserve">members of the </w:t>
      </w:r>
      <w:r w:rsidRPr="00850096">
        <w:rPr>
          <w:rFonts w:asciiTheme="majorBidi" w:hAnsiTheme="majorBidi" w:cstheme="majorBidi"/>
          <w:sz w:val="20"/>
          <w:szCs w:val="20"/>
          <w:lang w:bidi="ar-AE"/>
        </w:rPr>
        <w:t xml:space="preserve">Board of Directors </w:t>
      </w:r>
      <w:r>
        <w:rPr>
          <w:rFonts w:asciiTheme="majorBidi" w:hAnsiTheme="majorBidi" w:cstheme="majorBidi"/>
          <w:sz w:val="20"/>
          <w:szCs w:val="20"/>
          <w:lang w:bidi="ar-AE"/>
        </w:rPr>
        <w:t>of the Company from</w:t>
      </w:r>
      <w:r w:rsidRPr="00850096">
        <w:rPr>
          <w:rFonts w:asciiTheme="majorBidi" w:hAnsiTheme="majorBidi" w:cstheme="majorBidi"/>
          <w:sz w:val="20"/>
          <w:szCs w:val="20"/>
          <w:lang w:bidi="ar-AE"/>
        </w:rPr>
        <w:t xml:space="preserve"> liability for their </w:t>
      </w:r>
      <w:r>
        <w:rPr>
          <w:rFonts w:asciiTheme="majorBidi" w:hAnsiTheme="majorBidi" w:cstheme="majorBidi"/>
          <w:sz w:val="20"/>
          <w:szCs w:val="20"/>
          <w:lang w:bidi="ar-AE"/>
        </w:rPr>
        <w:t>work</w:t>
      </w:r>
      <w:r w:rsidRPr="00850096">
        <w:rPr>
          <w:rFonts w:asciiTheme="majorBidi" w:hAnsiTheme="majorBidi" w:cstheme="majorBidi"/>
          <w:sz w:val="20"/>
          <w:szCs w:val="20"/>
          <w:lang w:bidi="ar-AE"/>
        </w:rPr>
        <w:t xml:space="preserve"> </w:t>
      </w:r>
      <w:r>
        <w:rPr>
          <w:rFonts w:asciiTheme="majorBidi" w:hAnsiTheme="majorBidi" w:cstheme="majorBidi"/>
          <w:sz w:val="20"/>
          <w:szCs w:val="20"/>
          <w:lang w:bidi="ar-AE"/>
        </w:rPr>
        <w:t>during</w:t>
      </w:r>
      <w:r w:rsidRPr="00850096">
        <w:rPr>
          <w:rFonts w:asciiTheme="majorBidi" w:hAnsiTheme="majorBidi" w:cstheme="majorBidi"/>
          <w:sz w:val="20"/>
          <w:szCs w:val="20"/>
          <w:lang w:bidi="ar-AE"/>
        </w:rPr>
        <w:t xml:space="preserve"> the </w:t>
      </w:r>
      <w:r>
        <w:rPr>
          <w:rFonts w:asciiTheme="majorBidi" w:hAnsiTheme="majorBidi" w:cstheme="majorBidi"/>
          <w:sz w:val="20"/>
          <w:szCs w:val="20"/>
          <w:lang w:bidi="ar-AE"/>
        </w:rPr>
        <w:t xml:space="preserve">financial </w:t>
      </w:r>
      <w:r w:rsidRPr="00850096">
        <w:rPr>
          <w:rFonts w:asciiTheme="majorBidi" w:hAnsiTheme="majorBidi" w:cstheme="majorBidi"/>
          <w:sz w:val="20"/>
          <w:szCs w:val="20"/>
          <w:lang w:bidi="ar-AE"/>
        </w:rPr>
        <w:t xml:space="preserve">year ended on </w:t>
      </w:r>
      <w:r w:rsidRPr="0057705C">
        <w:rPr>
          <w:rFonts w:asciiTheme="majorBidi" w:hAnsiTheme="majorBidi" w:cstheme="majorBidi"/>
          <w:sz w:val="20"/>
          <w:szCs w:val="20"/>
          <w:lang w:bidi="ar-AE"/>
        </w:rPr>
        <w:t>31 December 2018</w:t>
      </w:r>
      <w:r w:rsidRPr="00850096">
        <w:rPr>
          <w:rFonts w:asciiTheme="majorBidi" w:hAnsiTheme="majorBidi" w:cstheme="majorBidi"/>
          <w:sz w:val="20"/>
          <w:szCs w:val="20"/>
          <w:lang w:bidi="ar-AE"/>
        </w:rPr>
        <w:t xml:space="preserve"> or </w:t>
      </w:r>
      <w:r>
        <w:rPr>
          <w:rFonts w:asciiTheme="majorBidi" w:hAnsiTheme="majorBidi" w:cstheme="majorBidi"/>
          <w:sz w:val="20"/>
          <w:szCs w:val="20"/>
          <w:lang w:bidi="ar-AE"/>
        </w:rPr>
        <w:t>dismiss them and pursue them as the case may be</w:t>
      </w:r>
      <w:r w:rsidRPr="00850096">
        <w:rPr>
          <w:rFonts w:asciiTheme="majorBidi" w:hAnsiTheme="majorBidi" w:cstheme="majorBidi"/>
          <w:sz w:val="20"/>
          <w:szCs w:val="20"/>
          <w:lang w:bidi="ar-AE"/>
        </w:rPr>
        <w:t>.</w:t>
      </w:r>
    </w:p>
    <w:p w:rsidR="00337219" w:rsidRPr="00850096"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Absolve the auditor</w:t>
      </w:r>
      <w:r>
        <w:rPr>
          <w:rFonts w:asciiTheme="majorBidi" w:hAnsiTheme="majorBidi" w:cstheme="majorBidi"/>
          <w:sz w:val="20"/>
          <w:szCs w:val="20"/>
          <w:lang w:bidi="ar-AE"/>
        </w:rPr>
        <w:t>s</w:t>
      </w:r>
      <w:r w:rsidRPr="00850096">
        <w:rPr>
          <w:rFonts w:asciiTheme="majorBidi" w:hAnsiTheme="majorBidi" w:cstheme="majorBidi"/>
          <w:sz w:val="20"/>
          <w:szCs w:val="20"/>
          <w:lang w:bidi="ar-AE"/>
        </w:rPr>
        <w:t xml:space="preserve"> </w:t>
      </w:r>
      <w:r>
        <w:rPr>
          <w:rFonts w:asciiTheme="majorBidi" w:hAnsiTheme="majorBidi" w:cstheme="majorBidi"/>
          <w:sz w:val="20"/>
          <w:szCs w:val="20"/>
          <w:lang w:bidi="ar-AE"/>
        </w:rPr>
        <w:t>from</w:t>
      </w:r>
      <w:r w:rsidRPr="00850096">
        <w:rPr>
          <w:rFonts w:asciiTheme="majorBidi" w:hAnsiTheme="majorBidi" w:cstheme="majorBidi"/>
          <w:sz w:val="20"/>
          <w:szCs w:val="20"/>
          <w:lang w:bidi="ar-AE"/>
        </w:rPr>
        <w:t xml:space="preserve"> liability for their </w:t>
      </w:r>
      <w:r>
        <w:rPr>
          <w:rFonts w:asciiTheme="majorBidi" w:hAnsiTheme="majorBidi" w:cstheme="majorBidi"/>
          <w:sz w:val="20"/>
          <w:szCs w:val="20"/>
          <w:lang w:bidi="ar-AE"/>
        </w:rPr>
        <w:t>work</w:t>
      </w:r>
      <w:r w:rsidRPr="00850096">
        <w:rPr>
          <w:rFonts w:asciiTheme="majorBidi" w:hAnsiTheme="majorBidi" w:cstheme="majorBidi"/>
          <w:sz w:val="20"/>
          <w:szCs w:val="20"/>
          <w:lang w:bidi="ar-AE"/>
        </w:rPr>
        <w:t xml:space="preserve"> </w:t>
      </w:r>
      <w:r>
        <w:rPr>
          <w:rFonts w:asciiTheme="majorBidi" w:hAnsiTheme="majorBidi" w:cstheme="majorBidi"/>
          <w:sz w:val="20"/>
          <w:szCs w:val="20"/>
          <w:lang w:bidi="ar-AE"/>
        </w:rPr>
        <w:t>during</w:t>
      </w:r>
      <w:r w:rsidRPr="00850096">
        <w:rPr>
          <w:rFonts w:asciiTheme="majorBidi" w:hAnsiTheme="majorBidi" w:cstheme="majorBidi"/>
          <w:sz w:val="20"/>
          <w:szCs w:val="20"/>
          <w:lang w:bidi="ar-AE"/>
        </w:rPr>
        <w:t xml:space="preserve"> the </w:t>
      </w:r>
      <w:r>
        <w:rPr>
          <w:rFonts w:asciiTheme="majorBidi" w:hAnsiTheme="majorBidi" w:cstheme="majorBidi"/>
          <w:sz w:val="20"/>
          <w:szCs w:val="20"/>
          <w:lang w:bidi="ar-AE"/>
        </w:rPr>
        <w:t xml:space="preserve">financial </w:t>
      </w:r>
      <w:r w:rsidRPr="00850096">
        <w:rPr>
          <w:rFonts w:asciiTheme="majorBidi" w:hAnsiTheme="majorBidi" w:cstheme="majorBidi"/>
          <w:sz w:val="20"/>
          <w:szCs w:val="20"/>
          <w:lang w:bidi="ar-AE"/>
        </w:rPr>
        <w:t xml:space="preserve">year ended on </w:t>
      </w:r>
      <w:r w:rsidRPr="0057705C">
        <w:rPr>
          <w:rFonts w:asciiTheme="majorBidi" w:hAnsiTheme="majorBidi" w:cstheme="majorBidi"/>
          <w:sz w:val="20"/>
          <w:szCs w:val="20"/>
          <w:lang w:bidi="ar-AE"/>
        </w:rPr>
        <w:t>31 December 2018</w:t>
      </w:r>
      <w:r>
        <w:rPr>
          <w:rFonts w:asciiTheme="majorBidi" w:hAnsiTheme="majorBidi" w:cstheme="majorBidi"/>
          <w:sz w:val="20"/>
          <w:szCs w:val="20"/>
          <w:lang w:bidi="ar-AE"/>
        </w:rPr>
        <w:t xml:space="preserve"> </w:t>
      </w:r>
      <w:r w:rsidRPr="00AB0C3B">
        <w:rPr>
          <w:rFonts w:asciiTheme="majorBidi" w:hAnsiTheme="majorBidi" w:cstheme="majorBidi"/>
          <w:sz w:val="20"/>
          <w:szCs w:val="20"/>
          <w:lang w:bidi="ar-AE"/>
        </w:rPr>
        <w:t>or dismiss them and pursue them as the case may be</w:t>
      </w:r>
      <w:r w:rsidRPr="00850096">
        <w:rPr>
          <w:rFonts w:asciiTheme="majorBidi" w:hAnsiTheme="majorBidi" w:cstheme="majorBidi"/>
          <w:sz w:val="20"/>
          <w:szCs w:val="20"/>
          <w:lang w:bidi="ar-AE"/>
        </w:rPr>
        <w:t>.</w:t>
      </w:r>
    </w:p>
    <w:p w:rsidR="00337219" w:rsidRPr="00850096" w:rsidRDefault="00337219" w:rsidP="00337219">
      <w:pPr>
        <w:pStyle w:val="NoSpacing"/>
        <w:numPr>
          <w:ilvl w:val="0"/>
          <w:numId w:val="1"/>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Appoint the auditor</w:t>
      </w:r>
      <w:r>
        <w:rPr>
          <w:rFonts w:asciiTheme="majorBidi" w:hAnsiTheme="majorBidi" w:cstheme="majorBidi"/>
          <w:sz w:val="20"/>
          <w:szCs w:val="20"/>
          <w:lang w:bidi="ar-AE"/>
        </w:rPr>
        <w:t>s</w:t>
      </w:r>
      <w:r w:rsidRPr="00850096">
        <w:rPr>
          <w:rFonts w:asciiTheme="majorBidi" w:hAnsiTheme="majorBidi" w:cstheme="majorBidi"/>
          <w:sz w:val="20"/>
          <w:szCs w:val="20"/>
          <w:lang w:bidi="ar-AE"/>
        </w:rPr>
        <w:t xml:space="preserve"> for the financial year 2019 and determine their fees.</w:t>
      </w:r>
    </w:p>
    <w:p w:rsidR="00337219" w:rsidRPr="00850096" w:rsidRDefault="00337219" w:rsidP="00337219">
      <w:pPr>
        <w:pStyle w:val="NoSpacing"/>
        <w:numPr>
          <w:ilvl w:val="0"/>
          <w:numId w:val="1"/>
        </w:numPr>
        <w:bidi w:val="0"/>
        <w:spacing w:after="200"/>
        <w:jc w:val="both"/>
        <w:rPr>
          <w:rFonts w:asciiTheme="majorBidi" w:hAnsiTheme="majorBidi" w:cstheme="majorBidi"/>
          <w:sz w:val="20"/>
          <w:szCs w:val="20"/>
          <w:lang w:bidi="ar-AE"/>
        </w:rPr>
      </w:pPr>
      <w:r>
        <w:rPr>
          <w:rFonts w:asciiTheme="majorBidi" w:hAnsiTheme="majorBidi" w:cstheme="majorBidi"/>
          <w:sz w:val="20"/>
          <w:szCs w:val="20"/>
          <w:lang w:bidi="ar-AE"/>
        </w:rPr>
        <w:t xml:space="preserve">Elect </w:t>
      </w:r>
      <w:r w:rsidRPr="00850096">
        <w:rPr>
          <w:rFonts w:asciiTheme="majorBidi" w:hAnsiTheme="majorBidi" w:cstheme="majorBidi"/>
          <w:sz w:val="20"/>
          <w:szCs w:val="20"/>
          <w:lang w:bidi="ar-AE"/>
        </w:rPr>
        <w:t xml:space="preserve">six members of the Board of Directors </w:t>
      </w:r>
      <w:r>
        <w:rPr>
          <w:rFonts w:asciiTheme="majorBidi" w:hAnsiTheme="majorBidi" w:cstheme="majorBidi"/>
          <w:sz w:val="20"/>
          <w:szCs w:val="20"/>
          <w:lang w:bidi="ar-AE"/>
        </w:rPr>
        <w:t>o</w:t>
      </w:r>
      <w:r w:rsidRPr="00850096">
        <w:rPr>
          <w:rFonts w:asciiTheme="majorBidi" w:hAnsiTheme="majorBidi" w:cstheme="majorBidi"/>
          <w:sz w:val="20"/>
          <w:szCs w:val="20"/>
          <w:lang w:bidi="ar-AE"/>
        </w:rPr>
        <w:t>ther than government representatives in the Board of Directors.</w:t>
      </w:r>
    </w:p>
    <w:p w:rsidR="00337219" w:rsidRPr="00850096" w:rsidRDefault="00337219" w:rsidP="00337219">
      <w:pPr>
        <w:spacing w:line="288" w:lineRule="auto"/>
        <w:ind w:right="-180"/>
        <w:jc w:val="both"/>
        <w:rPr>
          <w:rFonts w:asciiTheme="majorBidi" w:hAnsiTheme="majorBidi" w:cstheme="majorBidi"/>
          <w:sz w:val="20"/>
          <w:szCs w:val="20"/>
          <w:u w:val="single"/>
          <w:rtl/>
          <w:lang w:bidi="ar-AE"/>
        </w:rPr>
      </w:pPr>
    </w:p>
    <w:p w:rsidR="00337219" w:rsidRPr="00850096" w:rsidRDefault="00337219" w:rsidP="00337219">
      <w:pPr>
        <w:bidi w:val="0"/>
        <w:spacing w:after="200" w:line="288" w:lineRule="auto"/>
        <w:ind w:left="-334" w:right="-180"/>
        <w:jc w:val="both"/>
        <w:rPr>
          <w:rFonts w:asciiTheme="majorBidi" w:hAnsiTheme="majorBidi" w:cstheme="majorBidi"/>
          <w:sz w:val="20"/>
          <w:szCs w:val="20"/>
          <w:u w:val="single"/>
          <w:lang w:bidi="ar-AE"/>
        </w:rPr>
      </w:pPr>
      <w:r w:rsidRPr="00850096">
        <w:rPr>
          <w:rFonts w:asciiTheme="majorBidi" w:hAnsiTheme="majorBidi" w:cstheme="majorBidi"/>
          <w:sz w:val="20"/>
          <w:szCs w:val="20"/>
          <w:u w:val="single"/>
          <w:lang w:bidi="ar-AE"/>
        </w:rPr>
        <w:t>Notes:</w:t>
      </w:r>
    </w:p>
    <w:p w:rsidR="00337219" w:rsidRPr="00850096" w:rsidRDefault="00337219" w:rsidP="00337219">
      <w:pPr>
        <w:pStyle w:val="NoSpacing"/>
        <w:numPr>
          <w:ilvl w:val="0"/>
          <w:numId w:val="2"/>
        </w:numPr>
        <w:bidi w:val="0"/>
        <w:spacing w:after="200"/>
        <w:jc w:val="both"/>
        <w:rPr>
          <w:rFonts w:asciiTheme="majorBidi" w:hAnsiTheme="majorBidi" w:cstheme="majorBidi"/>
          <w:sz w:val="20"/>
          <w:szCs w:val="20"/>
          <w:lang w:bidi="ar-AE"/>
        </w:rPr>
      </w:pPr>
      <w:r>
        <w:rPr>
          <w:rFonts w:asciiTheme="majorBidi" w:hAnsiTheme="majorBidi" w:cstheme="majorBidi"/>
          <w:sz w:val="20"/>
          <w:szCs w:val="20"/>
        </w:rPr>
        <w:t>Each</w:t>
      </w:r>
      <w:r w:rsidRPr="00850096">
        <w:rPr>
          <w:rFonts w:asciiTheme="majorBidi" w:hAnsiTheme="majorBidi" w:cstheme="majorBidi"/>
          <w:sz w:val="20"/>
          <w:szCs w:val="20"/>
        </w:rPr>
        <w:t xml:space="preserve"> shareholder who </w:t>
      </w:r>
      <w:r>
        <w:rPr>
          <w:rFonts w:asciiTheme="majorBidi" w:hAnsiTheme="majorBidi" w:cstheme="majorBidi"/>
          <w:sz w:val="20"/>
          <w:szCs w:val="20"/>
        </w:rPr>
        <w:t>is entitled</w:t>
      </w:r>
      <w:r w:rsidRPr="00850096">
        <w:rPr>
          <w:rFonts w:asciiTheme="majorBidi" w:hAnsiTheme="majorBidi" w:cstheme="majorBidi"/>
          <w:sz w:val="20"/>
          <w:szCs w:val="20"/>
        </w:rPr>
        <w:t xml:space="preserve"> to attend the </w:t>
      </w:r>
      <w:r>
        <w:rPr>
          <w:rFonts w:asciiTheme="majorBidi" w:hAnsiTheme="majorBidi" w:cstheme="majorBidi"/>
          <w:sz w:val="20"/>
          <w:szCs w:val="20"/>
        </w:rPr>
        <w:t>g</w:t>
      </w:r>
      <w:r w:rsidRPr="00850096">
        <w:rPr>
          <w:rFonts w:asciiTheme="majorBidi" w:hAnsiTheme="majorBidi" w:cstheme="majorBidi"/>
          <w:sz w:val="20"/>
          <w:szCs w:val="20"/>
        </w:rPr>
        <w:t xml:space="preserve">eneral </w:t>
      </w:r>
      <w:r>
        <w:rPr>
          <w:rFonts w:asciiTheme="majorBidi" w:hAnsiTheme="majorBidi" w:cstheme="majorBidi"/>
          <w:sz w:val="20"/>
          <w:szCs w:val="20"/>
        </w:rPr>
        <w:t>a</w:t>
      </w:r>
      <w:r w:rsidRPr="00850096">
        <w:rPr>
          <w:rFonts w:asciiTheme="majorBidi" w:hAnsiTheme="majorBidi" w:cstheme="majorBidi"/>
          <w:sz w:val="20"/>
          <w:szCs w:val="20"/>
        </w:rPr>
        <w:t>ssembly</w:t>
      </w:r>
      <w:r>
        <w:rPr>
          <w:rFonts w:asciiTheme="majorBidi" w:hAnsiTheme="majorBidi" w:cstheme="majorBidi"/>
          <w:sz w:val="20"/>
          <w:szCs w:val="20"/>
        </w:rPr>
        <w:t xml:space="preserve"> meeting</w:t>
      </w:r>
      <w:r w:rsidRPr="00850096">
        <w:rPr>
          <w:rFonts w:asciiTheme="majorBidi" w:hAnsiTheme="majorBidi" w:cstheme="majorBidi"/>
          <w:sz w:val="20"/>
          <w:szCs w:val="20"/>
        </w:rPr>
        <w:t xml:space="preserve"> may delegate any person other than a member of the Board of Directors under a special written proxy.  In such capacity, no proxy may represent </w:t>
      </w:r>
      <w:r>
        <w:rPr>
          <w:rFonts w:asciiTheme="majorBidi" w:hAnsiTheme="majorBidi" w:cstheme="majorBidi"/>
          <w:sz w:val="20"/>
          <w:szCs w:val="20"/>
        </w:rPr>
        <w:t xml:space="preserve">a number of shareholders who hold </w:t>
      </w:r>
      <w:r w:rsidRPr="00850096">
        <w:rPr>
          <w:rFonts w:asciiTheme="majorBidi" w:hAnsiTheme="majorBidi" w:cstheme="majorBidi"/>
          <w:sz w:val="20"/>
          <w:szCs w:val="20"/>
        </w:rPr>
        <w:t xml:space="preserve">more than 5% of the shares in the capital of the Company. </w:t>
      </w:r>
      <w:r>
        <w:rPr>
          <w:rFonts w:asciiTheme="majorBidi" w:hAnsiTheme="majorBidi" w:cstheme="majorBidi"/>
          <w:sz w:val="20"/>
          <w:szCs w:val="20"/>
        </w:rPr>
        <w:t xml:space="preserve">Persons of incomplete capacity or incapable shall be represented by their legal representatives and minors shall be shall be represented by their parent or guardian.   </w:t>
      </w:r>
      <w:r w:rsidRPr="00850096">
        <w:rPr>
          <w:rFonts w:asciiTheme="majorBidi" w:hAnsiTheme="majorBidi" w:cstheme="majorBidi"/>
          <w:sz w:val="20"/>
          <w:szCs w:val="20"/>
        </w:rPr>
        <w:t xml:space="preserve"> </w:t>
      </w:r>
    </w:p>
    <w:p w:rsidR="00337219" w:rsidRPr="005815E5" w:rsidRDefault="00337219" w:rsidP="00337219">
      <w:pPr>
        <w:pStyle w:val="NoSpacing"/>
        <w:numPr>
          <w:ilvl w:val="0"/>
          <w:numId w:val="2"/>
        </w:numPr>
        <w:bidi w:val="0"/>
        <w:spacing w:after="200"/>
        <w:jc w:val="both"/>
        <w:rPr>
          <w:rFonts w:asciiTheme="majorBidi" w:hAnsiTheme="majorBidi" w:cstheme="majorBidi"/>
          <w:sz w:val="20"/>
          <w:szCs w:val="20"/>
        </w:rPr>
      </w:pPr>
      <w:r w:rsidRPr="00850096">
        <w:rPr>
          <w:rFonts w:asciiTheme="majorBidi" w:hAnsiTheme="majorBidi" w:cstheme="majorBidi"/>
          <w:sz w:val="20"/>
          <w:szCs w:val="20"/>
        </w:rPr>
        <w:t xml:space="preserve">A corporate person may delegate </w:t>
      </w:r>
      <w:r>
        <w:rPr>
          <w:rFonts w:asciiTheme="majorBidi" w:hAnsiTheme="majorBidi" w:cstheme="majorBidi"/>
          <w:sz w:val="20"/>
          <w:szCs w:val="20"/>
        </w:rPr>
        <w:t>a</w:t>
      </w:r>
      <w:r w:rsidRPr="00850096">
        <w:rPr>
          <w:rFonts w:asciiTheme="majorBidi" w:hAnsiTheme="majorBidi" w:cstheme="majorBidi"/>
          <w:sz w:val="20"/>
          <w:szCs w:val="20"/>
        </w:rPr>
        <w:t xml:space="preserve"> representative or those in charge of its management </w:t>
      </w:r>
      <w:r>
        <w:rPr>
          <w:rFonts w:asciiTheme="majorBidi" w:hAnsiTheme="majorBidi" w:cstheme="majorBidi"/>
          <w:sz w:val="20"/>
          <w:szCs w:val="20"/>
        </w:rPr>
        <w:t>pursuant to</w:t>
      </w:r>
      <w:r w:rsidRPr="00850096">
        <w:rPr>
          <w:rFonts w:asciiTheme="majorBidi" w:hAnsiTheme="majorBidi" w:cstheme="majorBidi"/>
          <w:sz w:val="20"/>
          <w:szCs w:val="20"/>
        </w:rPr>
        <w:t xml:space="preserve"> a </w:t>
      </w:r>
      <w:r>
        <w:rPr>
          <w:rFonts w:asciiTheme="majorBidi" w:hAnsiTheme="majorBidi" w:cstheme="majorBidi"/>
          <w:sz w:val="20"/>
          <w:szCs w:val="20"/>
        </w:rPr>
        <w:t>resolution</w:t>
      </w:r>
      <w:r w:rsidRPr="00850096">
        <w:rPr>
          <w:rFonts w:asciiTheme="majorBidi" w:hAnsiTheme="majorBidi" w:cstheme="majorBidi"/>
          <w:sz w:val="20"/>
          <w:szCs w:val="20"/>
        </w:rPr>
        <w:t xml:space="preserve"> of its </w:t>
      </w:r>
      <w:r>
        <w:rPr>
          <w:rFonts w:asciiTheme="majorBidi" w:hAnsiTheme="majorBidi" w:cstheme="majorBidi"/>
          <w:sz w:val="20"/>
          <w:szCs w:val="20"/>
        </w:rPr>
        <w:t>b</w:t>
      </w:r>
      <w:r w:rsidRPr="00850096">
        <w:rPr>
          <w:rFonts w:asciiTheme="majorBidi" w:hAnsiTheme="majorBidi" w:cstheme="majorBidi"/>
          <w:sz w:val="20"/>
          <w:szCs w:val="20"/>
        </w:rPr>
        <w:t xml:space="preserve">oard of </w:t>
      </w:r>
      <w:r>
        <w:rPr>
          <w:rFonts w:asciiTheme="majorBidi" w:hAnsiTheme="majorBidi" w:cstheme="majorBidi"/>
          <w:sz w:val="20"/>
          <w:szCs w:val="20"/>
        </w:rPr>
        <w:t>d</w:t>
      </w:r>
      <w:r w:rsidRPr="00850096">
        <w:rPr>
          <w:rFonts w:asciiTheme="majorBidi" w:hAnsiTheme="majorBidi" w:cstheme="majorBidi"/>
          <w:sz w:val="20"/>
          <w:szCs w:val="20"/>
        </w:rPr>
        <w:t xml:space="preserve">irectors or its </w:t>
      </w:r>
      <w:r>
        <w:rPr>
          <w:rFonts w:asciiTheme="majorBidi" w:hAnsiTheme="majorBidi" w:cstheme="majorBidi"/>
          <w:sz w:val="20"/>
          <w:szCs w:val="20"/>
        </w:rPr>
        <w:t>equivalent</w:t>
      </w:r>
      <w:r w:rsidRPr="00850096">
        <w:rPr>
          <w:rFonts w:asciiTheme="majorBidi" w:hAnsiTheme="majorBidi" w:cstheme="majorBidi"/>
          <w:sz w:val="20"/>
          <w:szCs w:val="20"/>
        </w:rPr>
        <w:t xml:space="preserve"> to represent </w:t>
      </w:r>
      <w:r w:rsidRPr="005F60EE">
        <w:rPr>
          <w:rFonts w:asciiTheme="majorBidi" w:hAnsiTheme="majorBidi" w:cstheme="majorBidi"/>
          <w:sz w:val="20"/>
          <w:szCs w:val="20"/>
        </w:rPr>
        <w:t xml:space="preserve">such corporate person in the </w:t>
      </w:r>
      <w:r>
        <w:rPr>
          <w:rFonts w:asciiTheme="majorBidi" w:hAnsiTheme="majorBidi" w:cstheme="majorBidi"/>
          <w:sz w:val="20"/>
          <w:szCs w:val="20"/>
        </w:rPr>
        <w:t>g</w:t>
      </w:r>
      <w:r w:rsidRPr="005F60EE">
        <w:rPr>
          <w:rFonts w:asciiTheme="majorBidi" w:hAnsiTheme="majorBidi" w:cstheme="majorBidi"/>
          <w:sz w:val="20"/>
          <w:szCs w:val="20"/>
        </w:rPr>
        <w:t xml:space="preserve">eneral </w:t>
      </w:r>
      <w:r>
        <w:rPr>
          <w:rFonts w:asciiTheme="majorBidi" w:hAnsiTheme="majorBidi" w:cstheme="majorBidi"/>
          <w:sz w:val="20"/>
          <w:szCs w:val="20"/>
        </w:rPr>
        <w:t>a</w:t>
      </w:r>
      <w:r w:rsidRPr="005F60EE">
        <w:rPr>
          <w:rFonts w:asciiTheme="majorBidi" w:hAnsiTheme="majorBidi" w:cstheme="majorBidi"/>
          <w:sz w:val="20"/>
          <w:szCs w:val="20"/>
        </w:rPr>
        <w:t>ssembly of the Company.  The delegated pe</w:t>
      </w:r>
      <w:r w:rsidRPr="003C5415">
        <w:rPr>
          <w:rFonts w:asciiTheme="majorBidi" w:hAnsiTheme="majorBidi" w:cstheme="majorBidi"/>
          <w:sz w:val="20"/>
          <w:szCs w:val="20"/>
        </w:rPr>
        <w:t xml:space="preserve">rson shall have the powers as determined in the delegating resolution. </w:t>
      </w:r>
    </w:p>
    <w:p w:rsidR="00337219" w:rsidRPr="005F60EE" w:rsidRDefault="00337219" w:rsidP="00337219">
      <w:pPr>
        <w:pStyle w:val="NoSpacing"/>
        <w:numPr>
          <w:ilvl w:val="0"/>
          <w:numId w:val="2"/>
        </w:numPr>
        <w:bidi w:val="0"/>
        <w:spacing w:after="200"/>
        <w:jc w:val="both"/>
        <w:rPr>
          <w:rFonts w:asciiTheme="majorBidi" w:hAnsiTheme="majorBidi" w:cstheme="majorBidi"/>
          <w:sz w:val="20"/>
          <w:szCs w:val="20"/>
        </w:rPr>
      </w:pPr>
      <w:r w:rsidRPr="005815E5">
        <w:rPr>
          <w:rFonts w:asciiTheme="majorBidi" w:hAnsiTheme="majorBidi" w:cstheme="majorBidi"/>
          <w:sz w:val="20"/>
          <w:szCs w:val="20"/>
        </w:rPr>
        <w:t xml:space="preserve">Shareholders registered in the </w:t>
      </w:r>
      <w:r w:rsidRPr="005F60EE">
        <w:rPr>
          <w:rFonts w:asciiTheme="majorBidi" w:hAnsiTheme="majorBidi" w:cstheme="majorBidi"/>
          <w:sz w:val="20"/>
          <w:szCs w:val="20"/>
        </w:rPr>
        <w:t xml:space="preserve">shareholders register on </w:t>
      </w:r>
      <w:r w:rsidRPr="00E834ED">
        <w:rPr>
          <w:rFonts w:asciiTheme="majorBidi" w:hAnsiTheme="majorBidi" w:cstheme="majorBidi"/>
          <w:sz w:val="20"/>
          <w:szCs w:val="20"/>
        </w:rPr>
        <w:t xml:space="preserve">18 April 2019 </w:t>
      </w:r>
      <w:r w:rsidRPr="005F60EE">
        <w:rPr>
          <w:rFonts w:asciiTheme="majorBidi" w:hAnsiTheme="majorBidi" w:cstheme="majorBidi"/>
          <w:sz w:val="20"/>
          <w:szCs w:val="20"/>
        </w:rPr>
        <w:t xml:space="preserve">shall be entitled to vote in the </w:t>
      </w:r>
      <w:r>
        <w:rPr>
          <w:rFonts w:asciiTheme="majorBidi" w:hAnsiTheme="majorBidi" w:cstheme="majorBidi"/>
          <w:sz w:val="20"/>
          <w:szCs w:val="20"/>
        </w:rPr>
        <w:t>g</w:t>
      </w:r>
      <w:r w:rsidRPr="005F60EE">
        <w:rPr>
          <w:rFonts w:asciiTheme="majorBidi" w:hAnsiTheme="majorBidi" w:cstheme="majorBidi"/>
          <w:sz w:val="20"/>
          <w:szCs w:val="20"/>
        </w:rPr>
        <w:t xml:space="preserve">eneral </w:t>
      </w:r>
      <w:r>
        <w:rPr>
          <w:rFonts w:asciiTheme="majorBidi" w:hAnsiTheme="majorBidi" w:cstheme="majorBidi"/>
          <w:sz w:val="20"/>
          <w:szCs w:val="20"/>
        </w:rPr>
        <w:t>a</w:t>
      </w:r>
      <w:r w:rsidRPr="005F60EE">
        <w:rPr>
          <w:rFonts w:asciiTheme="majorBidi" w:hAnsiTheme="majorBidi" w:cstheme="majorBidi"/>
          <w:sz w:val="20"/>
          <w:szCs w:val="20"/>
        </w:rPr>
        <w:t>ssembly meeting.</w:t>
      </w:r>
    </w:p>
    <w:p w:rsidR="00337219" w:rsidRPr="005F60EE" w:rsidRDefault="00337219" w:rsidP="00337219">
      <w:pPr>
        <w:pStyle w:val="NoSpacing"/>
        <w:numPr>
          <w:ilvl w:val="0"/>
          <w:numId w:val="2"/>
        </w:numPr>
        <w:bidi w:val="0"/>
        <w:spacing w:after="200"/>
        <w:jc w:val="both"/>
        <w:rPr>
          <w:rFonts w:asciiTheme="majorBidi" w:hAnsiTheme="majorBidi" w:cstheme="majorBidi"/>
          <w:sz w:val="20"/>
          <w:szCs w:val="20"/>
          <w:lang w:bidi="ar-AE"/>
        </w:rPr>
      </w:pPr>
      <w:r w:rsidRPr="005F60EE">
        <w:rPr>
          <w:rFonts w:asciiTheme="majorBidi" w:hAnsiTheme="majorBidi" w:cstheme="majorBidi"/>
          <w:sz w:val="20"/>
          <w:szCs w:val="20"/>
        </w:rPr>
        <w:t xml:space="preserve">Shareholders registered in the shareholders register </w:t>
      </w:r>
      <w:r w:rsidRPr="003C5415">
        <w:rPr>
          <w:rFonts w:asciiTheme="majorBidi" w:hAnsiTheme="majorBidi" w:cstheme="majorBidi"/>
          <w:sz w:val="20"/>
          <w:szCs w:val="20"/>
        </w:rPr>
        <w:t>on</w:t>
      </w:r>
      <w:r w:rsidRPr="003C5415">
        <w:rPr>
          <w:rFonts w:asciiTheme="majorBidi" w:hAnsiTheme="majorBidi" w:cstheme="majorBidi"/>
          <w:sz w:val="20"/>
          <w:szCs w:val="20"/>
          <w:lang w:bidi="ar-AE"/>
        </w:rPr>
        <w:t xml:space="preserve"> </w:t>
      </w:r>
      <w:r>
        <w:rPr>
          <w:rFonts w:asciiTheme="majorBidi" w:hAnsiTheme="majorBidi" w:cstheme="majorBidi"/>
          <w:sz w:val="20"/>
          <w:szCs w:val="20"/>
          <w:lang w:bidi="ar-AE"/>
        </w:rPr>
        <w:t xml:space="preserve">Wednesday </w:t>
      </w:r>
      <w:r w:rsidRPr="00E834ED">
        <w:rPr>
          <w:rFonts w:asciiTheme="majorBidi" w:hAnsiTheme="majorBidi" w:cstheme="majorBidi"/>
          <w:sz w:val="20"/>
          <w:szCs w:val="20"/>
        </w:rPr>
        <w:t xml:space="preserve">1 May 2019 </w:t>
      </w:r>
      <w:r w:rsidRPr="005F60EE">
        <w:rPr>
          <w:rFonts w:asciiTheme="majorBidi" w:hAnsiTheme="majorBidi" w:cstheme="majorBidi"/>
          <w:sz w:val="20"/>
          <w:szCs w:val="20"/>
        </w:rPr>
        <w:t>shall be entitled to receive the dividends if the quorum is achieved on</w:t>
      </w:r>
      <w:r w:rsidRPr="005F60EE">
        <w:rPr>
          <w:rFonts w:asciiTheme="majorBidi" w:hAnsiTheme="majorBidi" w:cstheme="majorBidi"/>
          <w:sz w:val="20"/>
          <w:szCs w:val="20"/>
          <w:lang w:bidi="ar-AE"/>
        </w:rPr>
        <w:t xml:space="preserve"> </w:t>
      </w:r>
      <w:r w:rsidRPr="00E834ED">
        <w:rPr>
          <w:rFonts w:asciiTheme="majorBidi" w:hAnsiTheme="majorBidi" w:cstheme="majorBidi"/>
          <w:sz w:val="20"/>
          <w:szCs w:val="20"/>
        </w:rPr>
        <w:t xml:space="preserve">21 April 2019, and </w:t>
      </w:r>
      <w:r w:rsidRPr="005F60EE">
        <w:rPr>
          <w:rFonts w:asciiTheme="majorBidi" w:hAnsiTheme="majorBidi" w:cstheme="majorBidi"/>
          <w:sz w:val="20"/>
          <w:szCs w:val="20"/>
        </w:rPr>
        <w:t>shareholders registered in the shareholders register</w:t>
      </w:r>
      <w:r w:rsidRPr="005F60EE">
        <w:rPr>
          <w:rFonts w:asciiTheme="majorBidi" w:hAnsiTheme="majorBidi" w:cstheme="majorBidi"/>
          <w:sz w:val="20"/>
          <w:szCs w:val="20"/>
          <w:lang w:bidi="ar-AE"/>
        </w:rPr>
        <w:t xml:space="preserve"> on </w:t>
      </w:r>
      <w:r>
        <w:rPr>
          <w:rFonts w:asciiTheme="majorBidi" w:hAnsiTheme="majorBidi" w:cstheme="majorBidi"/>
          <w:sz w:val="20"/>
          <w:szCs w:val="20"/>
          <w:lang w:bidi="ar-AE"/>
        </w:rPr>
        <w:t xml:space="preserve">Wednesday </w:t>
      </w:r>
      <w:r w:rsidRPr="00E834ED">
        <w:rPr>
          <w:rFonts w:asciiTheme="majorBidi" w:hAnsiTheme="majorBidi" w:cstheme="majorBidi"/>
          <w:sz w:val="20"/>
          <w:szCs w:val="20"/>
        </w:rPr>
        <w:t xml:space="preserve">8 May 2019 </w:t>
      </w:r>
      <w:r w:rsidRPr="005F60EE">
        <w:rPr>
          <w:rFonts w:asciiTheme="majorBidi" w:hAnsiTheme="majorBidi" w:cstheme="majorBidi"/>
          <w:sz w:val="20"/>
          <w:szCs w:val="20"/>
        </w:rPr>
        <w:t xml:space="preserve">shall be deemed to be entitled to receive the dividends if the </w:t>
      </w:r>
      <w:r>
        <w:rPr>
          <w:rFonts w:asciiTheme="majorBidi" w:hAnsiTheme="majorBidi" w:cstheme="majorBidi"/>
          <w:sz w:val="20"/>
          <w:szCs w:val="20"/>
        </w:rPr>
        <w:t>general assembly</w:t>
      </w:r>
      <w:r w:rsidRPr="005F60EE">
        <w:rPr>
          <w:rFonts w:asciiTheme="majorBidi" w:hAnsiTheme="majorBidi" w:cstheme="majorBidi"/>
          <w:sz w:val="20"/>
          <w:szCs w:val="20"/>
        </w:rPr>
        <w:t xml:space="preserve"> is held on</w:t>
      </w:r>
      <w:r w:rsidRPr="005F60EE">
        <w:rPr>
          <w:rFonts w:asciiTheme="majorBidi" w:hAnsiTheme="majorBidi" w:cstheme="majorBidi"/>
          <w:sz w:val="20"/>
          <w:szCs w:val="20"/>
          <w:lang w:bidi="ar-AE"/>
        </w:rPr>
        <w:t xml:space="preserve"> 28 April </w:t>
      </w:r>
      <w:r w:rsidRPr="00E834ED">
        <w:rPr>
          <w:rFonts w:asciiTheme="majorBidi" w:hAnsiTheme="majorBidi" w:cstheme="majorBidi"/>
          <w:sz w:val="20"/>
          <w:szCs w:val="20"/>
        </w:rPr>
        <w:t>2019.</w:t>
      </w:r>
    </w:p>
    <w:p w:rsidR="00337219" w:rsidRPr="00850096" w:rsidRDefault="00337219" w:rsidP="00337219">
      <w:pPr>
        <w:pStyle w:val="NoSpacing"/>
        <w:numPr>
          <w:ilvl w:val="0"/>
          <w:numId w:val="2"/>
        </w:numPr>
        <w:bidi w:val="0"/>
        <w:spacing w:after="200"/>
        <w:jc w:val="both"/>
        <w:rPr>
          <w:rFonts w:asciiTheme="majorBidi" w:hAnsiTheme="majorBidi" w:cstheme="majorBidi"/>
          <w:sz w:val="20"/>
          <w:szCs w:val="20"/>
        </w:rPr>
      </w:pPr>
      <w:r w:rsidRPr="00850096">
        <w:rPr>
          <w:rFonts w:asciiTheme="majorBidi" w:hAnsiTheme="majorBidi" w:cstheme="majorBidi"/>
          <w:sz w:val="20"/>
          <w:szCs w:val="20"/>
        </w:rPr>
        <w:t xml:space="preserve">The General Assembly shall </w:t>
      </w:r>
      <w:r>
        <w:rPr>
          <w:rFonts w:asciiTheme="majorBidi" w:hAnsiTheme="majorBidi" w:cstheme="majorBidi"/>
          <w:sz w:val="20"/>
          <w:szCs w:val="20"/>
        </w:rPr>
        <w:t xml:space="preserve">only </w:t>
      </w:r>
      <w:r w:rsidRPr="00850096">
        <w:rPr>
          <w:rFonts w:asciiTheme="majorBidi" w:hAnsiTheme="majorBidi" w:cstheme="majorBidi"/>
          <w:sz w:val="20"/>
          <w:szCs w:val="20"/>
        </w:rPr>
        <w:t xml:space="preserve">be valid </w:t>
      </w:r>
      <w:r>
        <w:rPr>
          <w:rFonts w:asciiTheme="majorBidi" w:hAnsiTheme="majorBidi" w:cstheme="majorBidi"/>
          <w:sz w:val="20"/>
          <w:szCs w:val="20"/>
        </w:rPr>
        <w:t>if</w:t>
      </w:r>
      <w:r w:rsidRPr="00850096">
        <w:rPr>
          <w:rFonts w:asciiTheme="majorBidi" w:hAnsiTheme="majorBidi" w:cstheme="majorBidi"/>
          <w:sz w:val="20"/>
          <w:szCs w:val="20"/>
        </w:rPr>
        <w:t xml:space="preserve"> attended by shareholders </w:t>
      </w:r>
      <w:r>
        <w:rPr>
          <w:rFonts w:asciiTheme="majorBidi" w:hAnsiTheme="majorBidi" w:cstheme="majorBidi"/>
          <w:sz w:val="20"/>
          <w:szCs w:val="20"/>
        </w:rPr>
        <w:t>own</w:t>
      </w:r>
      <w:r w:rsidRPr="00850096">
        <w:rPr>
          <w:rFonts w:asciiTheme="majorBidi" w:hAnsiTheme="majorBidi" w:cstheme="majorBidi"/>
          <w:sz w:val="20"/>
          <w:szCs w:val="20"/>
        </w:rPr>
        <w:t xml:space="preserve"> or represent by proxy </w:t>
      </w:r>
      <w:r>
        <w:rPr>
          <w:rFonts w:asciiTheme="majorBidi" w:hAnsiTheme="majorBidi" w:cstheme="majorBidi"/>
          <w:sz w:val="20"/>
          <w:szCs w:val="20"/>
        </w:rPr>
        <w:t>not less than</w:t>
      </w:r>
      <w:r w:rsidRPr="00850096">
        <w:rPr>
          <w:rFonts w:asciiTheme="majorBidi" w:hAnsiTheme="majorBidi" w:cstheme="majorBidi"/>
          <w:sz w:val="20"/>
          <w:szCs w:val="20"/>
        </w:rPr>
        <w:t xml:space="preserve"> (50%) of the Company's share capital.   If this quorum is not </w:t>
      </w:r>
      <w:r>
        <w:rPr>
          <w:rFonts w:asciiTheme="majorBidi" w:hAnsiTheme="majorBidi" w:cstheme="majorBidi"/>
          <w:sz w:val="20"/>
          <w:szCs w:val="20"/>
        </w:rPr>
        <w:t>achieved</w:t>
      </w:r>
      <w:r w:rsidRPr="00850096">
        <w:rPr>
          <w:rFonts w:asciiTheme="majorBidi" w:hAnsiTheme="majorBidi" w:cstheme="majorBidi"/>
          <w:sz w:val="20"/>
          <w:szCs w:val="20"/>
        </w:rPr>
        <w:t xml:space="preserve"> </w:t>
      </w:r>
      <w:r>
        <w:rPr>
          <w:rFonts w:asciiTheme="majorBidi" w:hAnsiTheme="majorBidi" w:cstheme="majorBidi"/>
          <w:sz w:val="20"/>
          <w:szCs w:val="20"/>
        </w:rPr>
        <w:t>at</w:t>
      </w:r>
      <w:r w:rsidRPr="00850096">
        <w:rPr>
          <w:rFonts w:asciiTheme="majorBidi" w:hAnsiTheme="majorBidi" w:cstheme="majorBidi"/>
          <w:sz w:val="20"/>
          <w:szCs w:val="20"/>
        </w:rPr>
        <w:t xml:space="preserve"> the first meeting, </w:t>
      </w:r>
      <w:r>
        <w:rPr>
          <w:rFonts w:asciiTheme="majorBidi" w:hAnsiTheme="majorBidi" w:cstheme="majorBidi"/>
          <w:sz w:val="20"/>
          <w:szCs w:val="20"/>
        </w:rPr>
        <w:t>a</w:t>
      </w:r>
      <w:r w:rsidRPr="00850096">
        <w:rPr>
          <w:rFonts w:asciiTheme="majorBidi" w:hAnsiTheme="majorBidi" w:cstheme="majorBidi"/>
          <w:sz w:val="20"/>
          <w:szCs w:val="20"/>
        </w:rPr>
        <w:t xml:space="preserve"> second meeting </w:t>
      </w:r>
      <w:r>
        <w:rPr>
          <w:rFonts w:asciiTheme="majorBidi" w:hAnsiTheme="majorBidi" w:cstheme="majorBidi"/>
          <w:sz w:val="20"/>
          <w:szCs w:val="20"/>
        </w:rPr>
        <w:t>will be held</w:t>
      </w:r>
      <w:r w:rsidRPr="00850096">
        <w:rPr>
          <w:rFonts w:asciiTheme="majorBidi" w:hAnsiTheme="majorBidi" w:cstheme="majorBidi"/>
          <w:sz w:val="20"/>
          <w:szCs w:val="20"/>
        </w:rPr>
        <w:t xml:space="preserve"> on</w:t>
      </w:r>
      <w:r w:rsidRPr="00850096">
        <w:rPr>
          <w:rFonts w:asciiTheme="majorBidi" w:hAnsiTheme="majorBidi" w:cstheme="majorBidi"/>
          <w:sz w:val="20"/>
          <w:szCs w:val="20"/>
          <w:lang w:bidi="ar-AE"/>
        </w:rPr>
        <w:t xml:space="preserve"> </w:t>
      </w:r>
      <w:r>
        <w:rPr>
          <w:rFonts w:asciiTheme="majorBidi" w:hAnsiTheme="majorBidi" w:cstheme="majorBidi"/>
          <w:sz w:val="20"/>
          <w:szCs w:val="20"/>
          <w:lang w:bidi="ar-AE"/>
        </w:rPr>
        <w:t xml:space="preserve">28 April </w:t>
      </w:r>
      <w:r w:rsidRPr="00E834ED">
        <w:rPr>
          <w:rFonts w:asciiTheme="majorBidi" w:hAnsiTheme="majorBidi" w:cstheme="majorBidi"/>
          <w:sz w:val="20"/>
          <w:szCs w:val="20"/>
        </w:rPr>
        <w:t xml:space="preserve">2019 </w:t>
      </w:r>
      <w:r>
        <w:rPr>
          <w:rFonts w:asciiTheme="majorBidi" w:hAnsiTheme="majorBidi" w:cstheme="majorBidi"/>
          <w:sz w:val="20"/>
          <w:szCs w:val="20"/>
        </w:rPr>
        <w:t>at</w:t>
      </w:r>
      <w:r w:rsidRPr="00850096">
        <w:rPr>
          <w:rFonts w:asciiTheme="majorBidi" w:hAnsiTheme="majorBidi" w:cstheme="majorBidi"/>
          <w:sz w:val="20"/>
          <w:szCs w:val="20"/>
        </w:rPr>
        <w:t xml:space="preserve"> the same place and time. Shareholders registered in the </w:t>
      </w:r>
      <w:r>
        <w:rPr>
          <w:rFonts w:asciiTheme="majorBidi" w:hAnsiTheme="majorBidi" w:cstheme="majorBidi"/>
          <w:sz w:val="20"/>
          <w:szCs w:val="20"/>
        </w:rPr>
        <w:t>s</w:t>
      </w:r>
      <w:r w:rsidRPr="00850096">
        <w:rPr>
          <w:rFonts w:asciiTheme="majorBidi" w:hAnsiTheme="majorBidi" w:cstheme="majorBidi"/>
          <w:sz w:val="20"/>
          <w:szCs w:val="20"/>
        </w:rPr>
        <w:t xml:space="preserve">hareholders </w:t>
      </w:r>
      <w:r>
        <w:rPr>
          <w:rFonts w:asciiTheme="majorBidi" w:hAnsiTheme="majorBidi" w:cstheme="majorBidi"/>
          <w:sz w:val="20"/>
          <w:szCs w:val="20"/>
        </w:rPr>
        <w:t>r</w:t>
      </w:r>
      <w:r w:rsidRPr="00850096">
        <w:rPr>
          <w:rFonts w:asciiTheme="majorBidi" w:hAnsiTheme="majorBidi" w:cstheme="majorBidi"/>
          <w:sz w:val="20"/>
          <w:szCs w:val="20"/>
        </w:rPr>
        <w:t xml:space="preserve">egister on </w:t>
      </w:r>
      <w:r>
        <w:rPr>
          <w:rFonts w:asciiTheme="majorBidi" w:hAnsiTheme="majorBidi" w:cstheme="majorBidi"/>
          <w:sz w:val="20"/>
          <w:szCs w:val="20"/>
        </w:rPr>
        <w:t xml:space="preserve">25 </w:t>
      </w:r>
      <w:r w:rsidRPr="003C5415">
        <w:rPr>
          <w:rFonts w:asciiTheme="majorBidi" w:hAnsiTheme="majorBidi" w:cstheme="majorBidi"/>
          <w:sz w:val="20"/>
          <w:szCs w:val="20"/>
        </w:rPr>
        <w:t xml:space="preserve">April </w:t>
      </w:r>
      <w:r w:rsidRPr="00E834ED">
        <w:rPr>
          <w:rFonts w:asciiTheme="majorBidi" w:hAnsiTheme="majorBidi" w:cstheme="majorBidi"/>
          <w:sz w:val="20"/>
          <w:szCs w:val="20"/>
        </w:rPr>
        <w:t>2019</w:t>
      </w:r>
      <w:r>
        <w:rPr>
          <w:rFonts w:asciiTheme="majorBidi" w:hAnsiTheme="majorBidi" w:cstheme="majorBidi"/>
          <w:b/>
          <w:bCs/>
          <w:sz w:val="20"/>
          <w:szCs w:val="20"/>
        </w:rPr>
        <w:t xml:space="preserve"> </w:t>
      </w:r>
      <w:r w:rsidRPr="00850096">
        <w:rPr>
          <w:rFonts w:asciiTheme="majorBidi" w:hAnsiTheme="majorBidi" w:cstheme="majorBidi"/>
          <w:sz w:val="20"/>
          <w:szCs w:val="20"/>
        </w:rPr>
        <w:t>shall be entitled to vote in the second meeting.</w:t>
      </w:r>
    </w:p>
    <w:p w:rsidR="00337219" w:rsidRDefault="00337219" w:rsidP="00337219">
      <w:pPr>
        <w:pStyle w:val="NoSpacing"/>
        <w:numPr>
          <w:ilvl w:val="0"/>
          <w:numId w:val="2"/>
        </w:numPr>
        <w:bidi w:val="0"/>
        <w:spacing w:after="200"/>
        <w:jc w:val="both"/>
        <w:rPr>
          <w:rFonts w:asciiTheme="majorBidi" w:hAnsiTheme="majorBidi" w:cstheme="majorBidi"/>
          <w:sz w:val="20"/>
          <w:szCs w:val="20"/>
        </w:rPr>
      </w:pPr>
      <w:r>
        <w:rPr>
          <w:rFonts w:asciiTheme="majorBidi" w:hAnsiTheme="majorBidi" w:cstheme="majorBidi"/>
          <w:sz w:val="20"/>
          <w:szCs w:val="20"/>
        </w:rPr>
        <w:t xml:space="preserve">In the event of a failure to attain a quorum for the first general assembly meeting the proxies issued to attend the first meeting shall be considered valid and effective for any of the following meetings unless they are expressly cancelled by </w:t>
      </w:r>
      <w:r>
        <w:rPr>
          <w:rFonts w:asciiTheme="majorBidi" w:hAnsiTheme="majorBidi" w:cstheme="majorBidi"/>
          <w:sz w:val="20"/>
          <w:szCs w:val="20"/>
        </w:rPr>
        <w:lastRenderedPageBreak/>
        <w:t xml:space="preserve">the relevant shareholder via a notice issued to the management of the Company at least two days prior to the date of the meeting. </w:t>
      </w:r>
    </w:p>
    <w:p w:rsidR="00337219" w:rsidRPr="00850096" w:rsidRDefault="00337219" w:rsidP="00337219">
      <w:pPr>
        <w:pStyle w:val="NoSpacing"/>
        <w:numPr>
          <w:ilvl w:val="0"/>
          <w:numId w:val="2"/>
        </w:numPr>
        <w:bidi w:val="0"/>
        <w:spacing w:after="200"/>
        <w:jc w:val="both"/>
        <w:rPr>
          <w:rFonts w:asciiTheme="majorBidi" w:hAnsiTheme="majorBidi" w:cstheme="majorBidi"/>
          <w:sz w:val="20"/>
          <w:szCs w:val="20"/>
        </w:rPr>
      </w:pPr>
      <w:r w:rsidRPr="00850096">
        <w:rPr>
          <w:rFonts w:asciiTheme="majorBidi" w:hAnsiTheme="majorBidi" w:cstheme="majorBidi"/>
          <w:sz w:val="20"/>
          <w:szCs w:val="20"/>
        </w:rPr>
        <w:t xml:space="preserve">Shareholders </w:t>
      </w:r>
      <w:r>
        <w:rPr>
          <w:rFonts w:asciiTheme="majorBidi" w:hAnsiTheme="majorBidi" w:cstheme="majorBidi"/>
          <w:sz w:val="20"/>
          <w:szCs w:val="20"/>
        </w:rPr>
        <w:t>must</w:t>
      </w:r>
      <w:r w:rsidRPr="00850096">
        <w:rPr>
          <w:rFonts w:asciiTheme="majorBidi" w:hAnsiTheme="majorBidi" w:cstheme="majorBidi"/>
          <w:sz w:val="20"/>
          <w:szCs w:val="20"/>
        </w:rPr>
        <w:t xml:space="preserve"> update </w:t>
      </w:r>
      <w:r>
        <w:rPr>
          <w:rFonts w:asciiTheme="majorBidi" w:hAnsiTheme="majorBidi" w:cstheme="majorBidi"/>
          <w:sz w:val="20"/>
          <w:szCs w:val="20"/>
        </w:rPr>
        <w:t xml:space="preserve">their respective contact details, addresses and </w:t>
      </w:r>
      <w:r w:rsidRPr="00850096">
        <w:rPr>
          <w:rFonts w:asciiTheme="majorBidi" w:hAnsiTheme="majorBidi" w:cstheme="majorBidi"/>
          <w:sz w:val="20"/>
          <w:szCs w:val="20"/>
        </w:rPr>
        <w:t xml:space="preserve">bank account details </w:t>
      </w:r>
      <w:r>
        <w:rPr>
          <w:rFonts w:asciiTheme="majorBidi" w:hAnsiTheme="majorBidi" w:cstheme="majorBidi"/>
          <w:sz w:val="20"/>
          <w:szCs w:val="20"/>
        </w:rPr>
        <w:t>with</w:t>
      </w:r>
      <w:r w:rsidRPr="00850096">
        <w:rPr>
          <w:rFonts w:asciiTheme="majorBidi" w:hAnsiTheme="majorBidi" w:cstheme="majorBidi"/>
          <w:sz w:val="20"/>
          <w:szCs w:val="20"/>
        </w:rPr>
        <w:t xml:space="preserve"> Abu Dhabi Securities Exchange to ensure </w:t>
      </w:r>
      <w:r>
        <w:rPr>
          <w:rFonts w:asciiTheme="majorBidi" w:hAnsiTheme="majorBidi" w:cstheme="majorBidi"/>
          <w:sz w:val="20"/>
          <w:szCs w:val="20"/>
        </w:rPr>
        <w:t>that they receive dividends in the most appropriate manner</w:t>
      </w:r>
      <w:r w:rsidRPr="00850096">
        <w:rPr>
          <w:rFonts w:asciiTheme="majorBidi" w:hAnsiTheme="majorBidi" w:cstheme="majorBidi"/>
          <w:sz w:val="20"/>
          <w:szCs w:val="20"/>
        </w:rPr>
        <w:t xml:space="preserve">. Dividends will be distributed </w:t>
      </w:r>
      <w:r>
        <w:rPr>
          <w:rFonts w:asciiTheme="majorBidi" w:hAnsiTheme="majorBidi" w:cstheme="majorBidi"/>
          <w:sz w:val="20"/>
          <w:szCs w:val="20"/>
        </w:rPr>
        <w:t>by</w:t>
      </w:r>
      <w:r w:rsidRPr="00850096">
        <w:rPr>
          <w:rFonts w:asciiTheme="majorBidi" w:hAnsiTheme="majorBidi" w:cstheme="majorBidi"/>
          <w:sz w:val="20"/>
          <w:szCs w:val="20"/>
        </w:rPr>
        <w:t xml:space="preserve"> the Abu Dhabi Securities Exchange. </w:t>
      </w:r>
    </w:p>
    <w:p w:rsidR="00337219" w:rsidRPr="00850096" w:rsidRDefault="00337219" w:rsidP="00337219">
      <w:pPr>
        <w:pStyle w:val="NoSpacing"/>
        <w:numPr>
          <w:ilvl w:val="0"/>
          <w:numId w:val="2"/>
        </w:numPr>
        <w:bidi w:val="0"/>
        <w:spacing w:after="200"/>
        <w:jc w:val="both"/>
        <w:rPr>
          <w:rFonts w:asciiTheme="majorBidi" w:hAnsiTheme="majorBidi" w:cstheme="majorBidi"/>
          <w:sz w:val="20"/>
          <w:szCs w:val="20"/>
        </w:rPr>
      </w:pPr>
      <w:r w:rsidRPr="00850096">
        <w:rPr>
          <w:rFonts w:asciiTheme="majorBidi" w:hAnsiTheme="majorBidi" w:cstheme="majorBidi"/>
          <w:sz w:val="20"/>
          <w:szCs w:val="20"/>
        </w:rPr>
        <w:t xml:space="preserve">The attendance record of the meeting shall be closed once the Chairman </w:t>
      </w:r>
      <w:r>
        <w:rPr>
          <w:rFonts w:asciiTheme="majorBidi" w:hAnsiTheme="majorBidi" w:cstheme="majorBidi"/>
          <w:sz w:val="20"/>
          <w:szCs w:val="20"/>
        </w:rPr>
        <w:t>announces that</w:t>
      </w:r>
      <w:r w:rsidRPr="00850096">
        <w:rPr>
          <w:rFonts w:asciiTheme="majorBidi" w:hAnsiTheme="majorBidi" w:cstheme="majorBidi"/>
          <w:sz w:val="20"/>
          <w:szCs w:val="20"/>
        </w:rPr>
        <w:t xml:space="preserve"> the quorum </w:t>
      </w:r>
      <w:r>
        <w:rPr>
          <w:rFonts w:asciiTheme="majorBidi" w:hAnsiTheme="majorBidi" w:cstheme="majorBidi"/>
          <w:sz w:val="20"/>
          <w:szCs w:val="20"/>
        </w:rPr>
        <w:t xml:space="preserve">has been achieved </w:t>
      </w:r>
      <w:r w:rsidRPr="00850096">
        <w:rPr>
          <w:rFonts w:asciiTheme="majorBidi" w:hAnsiTheme="majorBidi" w:cstheme="majorBidi"/>
          <w:sz w:val="20"/>
          <w:szCs w:val="20"/>
        </w:rPr>
        <w:t xml:space="preserve">and start the meeting. The shares of those attending after the closure of the </w:t>
      </w:r>
      <w:r>
        <w:rPr>
          <w:rFonts w:asciiTheme="majorBidi" w:hAnsiTheme="majorBidi" w:cstheme="majorBidi"/>
          <w:sz w:val="20"/>
          <w:szCs w:val="20"/>
        </w:rPr>
        <w:t>r</w:t>
      </w:r>
      <w:r w:rsidRPr="00850096">
        <w:rPr>
          <w:rFonts w:asciiTheme="majorBidi" w:hAnsiTheme="majorBidi" w:cstheme="majorBidi"/>
          <w:sz w:val="20"/>
          <w:szCs w:val="20"/>
        </w:rPr>
        <w:t xml:space="preserve">egister shall not be counted in the quorum of the </w:t>
      </w:r>
      <w:r>
        <w:rPr>
          <w:rFonts w:asciiTheme="majorBidi" w:hAnsiTheme="majorBidi" w:cstheme="majorBidi"/>
          <w:sz w:val="20"/>
          <w:szCs w:val="20"/>
        </w:rPr>
        <w:t>meeting</w:t>
      </w:r>
      <w:r w:rsidRPr="00850096">
        <w:rPr>
          <w:rFonts w:asciiTheme="majorBidi" w:hAnsiTheme="majorBidi" w:cstheme="majorBidi"/>
          <w:sz w:val="20"/>
          <w:szCs w:val="20"/>
        </w:rPr>
        <w:t xml:space="preserve"> or in the voting on its resolutions.  </w:t>
      </w:r>
    </w:p>
    <w:p w:rsidR="00337219" w:rsidRPr="00850096" w:rsidRDefault="00337219" w:rsidP="00337219">
      <w:pPr>
        <w:pStyle w:val="NoSpacing"/>
        <w:numPr>
          <w:ilvl w:val="0"/>
          <w:numId w:val="2"/>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The shareholders can access and review the financial statements</w:t>
      </w:r>
      <w:r>
        <w:rPr>
          <w:rFonts w:asciiTheme="majorBidi" w:hAnsiTheme="majorBidi" w:cstheme="majorBidi"/>
          <w:sz w:val="20"/>
          <w:szCs w:val="20"/>
          <w:lang w:bidi="ar-AE"/>
        </w:rPr>
        <w:t>, profit and loss account</w:t>
      </w:r>
      <w:r w:rsidRPr="00850096">
        <w:rPr>
          <w:rFonts w:asciiTheme="majorBidi" w:hAnsiTheme="majorBidi" w:cstheme="majorBidi"/>
          <w:sz w:val="20"/>
          <w:szCs w:val="20"/>
          <w:lang w:bidi="ar-AE"/>
        </w:rPr>
        <w:t xml:space="preserve"> and 2018 Governance Report of the Company on the website of the</w:t>
      </w:r>
      <w:r w:rsidRPr="00850096">
        <w:rPr>
          <w:rFonts w:asciiTheme="majorBidi" w:hAnsiTheme="majorBidi" w:cstheme="majorBidi"/>
          <w:sz w:val="20"/>
          <w:szCs w:val="20"/>
        </w:rPr>
        <w:t xml:space="preserve"> Abu Dhabi Securities Exchange</w:t>
      </w:r>
      <w:r w:rsidRPr="003C5415">
        <w:rPr>
          <w:rFonts w:asciiTheme="majorBidi" w:hAnsiTheme="majorBidi" w:cstheme="majorBidi"/>
          <w:sz w:val="20"/>
          <w:szCs w:val="20"/>
        </w:rPr>
        <w:t>. (</w:t>
      </w:r>
      <w:hyperlink r:id="rId7" w:history="1">
        <w:r w:rsidRPr="00E834ED">
          <w:rPr>
            <w:rStyle w:val="Hyperlink"/>
            <w:rFonts w:asciiTheme="majorBidi" w:hAnsiTheme="majorBidi" w:cstheme="majorBidi"/>
            <w:sz w:val="20"/>
            <w:szCs w:val="20"/>
          </w:rPr>
          <w:t>https://www.adx.ae</w:t>
        </w:r>
      </w:hyperlink>
      <w:r w:rsidRPr="00E834ED">
        <w:rPr>
          <w:rFonts w:asciiTheme="majorBidi" w:hAnsiTheme="majorBidi" w:cstheme="majorBidi"/>
          <w:sz w:val="20"/>
          <w:szCs w:val="20"/>
        </w:rPr>
        <w:t xml:space="preserve">) and the </w:t>
      </w:r>
      <w:r>
        <w:rPr>
          <w:rFonts w:asciiTheme="majorBidi" w:hAnsiTheme="majorBidi" w:cstheme="majorBidi"/>
          <w:sz w:val="20"/>
          <w:szCs w:val="20"/>
        </w:rPr>
        <w:t>C</w:t>
      </w:r>
      <w:r w:rsidRPr="00E834ED">
        <w:rPr>
          <w:rFonts w:asciiTheme="majorBidi" w:hAnsiTheme="majorBidi" w:cstheme="majorBidi"/>
          <w:sz w:val="20"/>
          <w:szCs w:val="20"/>
        </w:rPr>
        <w:t>ompany’s website (</w:t>
      </w:r>
      <w:hyperlink r:id="rId8" w:history="1">
        <w:r w:rsidRPr="00E834ED">
          <w:rPr>
            <w:rStyle w:val="Hyperlink"/>
            <w:rFonts w:asciiTheme="majorBidi" w:hAnsiTheme="majorBidi" w:cstheme="majorBidi"/>
            <w:sz w:val="20"/>
            <w:szCs w:val="20"/>
          </w:rPr>
          <w:t>http://www.nmdc.com</w:t>
        </w:r>
      </w:hyperlink>
      <w:r w:rsidRPr="00E834ED">
        <w:rPr>
          <w:rFonts w:asciiTheme="majorBidi" w:hAnsiTheme="majorBidi" w:cstheme="majorBidi"/>
          <w:sz w:val="20"/>
          <w:szCs w:val="20"/>
        </w:rPr>
        <w:t>)</w:t>
      </w:r>
      <w:r>
        <w:rPr>
          <w:rFonts w:asciiTheme="majorBidi" w:hAnsiTheme="majorBidi" w:cstheme="majorBidi"/>
          <w:sz w:val="20"/>
          <w:szCs w:val="20"/>
        </w:rPr>
        <w:t xml:space="preserve">. </w:t>
      </w:r>
      <w:r w:rsidRPr="00E834ED">
        <w:rPr>
          <w:rFonts w:asciiTheme="majorBidi" w:hAnsiTheme="majorBidi" w:cstheme="majorBidi"/>
          <w:sz w:val="20"/>
          <w:szCs w:val="20"/>
        </w:rPr>
        <w:t xml:space="preserve">Hard copies will be available at the </w:t>
      </w:r>
      <w:r>
        <w:rPr>
          <w:rFonts w:asciiTheme="majorBidi" w:hAnsiTheme="majorBidi" w:cstheme="majorBidi"/>
          <w:sz w:val="20"/>
          <w:szCs w:val="20"/>
        </w:rPr>
        <w:t>place of the meeting</w:t>
      </w:r>
      <w:r w:rsidRPr="00850096">
        <w:rPr>
          <w:rFonts w:asciiTheme="majorBidi" w:hAnsiTheme="majorBidi" w:cstheme="majorBidi"/>
          <w:sz w:val="20"/>
          <w:szCs w:val="20"/>
        </w:rPr>
        <w:t>.</w:t>
      </w:r>
      <w:r w:rsidRPr="00850096">
        <w:rPr>
          <w:rFonts w:ascii="Simplified Arabic" w:hAnsi="Simplified Arabic"/>
          <w:sz w:val="20"/>
          <w:szCs w:val="20"/>
        </w:rPr>
        <w:t xml:space="preserve"> </w:t>
      </w:r>
    </w:p>
    <w:p w:rsidR="00337219" w:rsidRPr="003C5415" w:rsidRDefault="00337219" w:rsidP="00337219">
      <w:pPr>
        <w:pStyle w:val="NoSpacing"/>
        <w:numPr>
          <w:ilvl w:val="0"/>
          <w:numId w:val="2"/>
        </w:numPr>
        <w:bidi w:val="0"/>
        <w:spacing w:after="200"/>
        <w:jc w:val="both"/>
        <w:rPr>
          <w:rFonts w:asciiTheme="majorBidi" w:hAnsiTheme="majorBidi" w:cstheme="majorBidi"/>
          <w:sz w:val="20"/>
          <w:szCs w:val="20"/>
          <w:lang w:bidi="ar-AE"/>
        </w:rPr>
      </w:pPr>
      <w:r w:rsidRPr="00850096">
        <w:rPr>
          <w:rFonts w:asciiTheme="majorBidi" w:hAnsiTheme="majorBidi" w:cstheme="majorBidi"/>
          <w:sz w:val="20"/>
          <w:szCs w:val="20"/>
          <w:lang w:bidi="ar-AE"/>
        </w:rPr>
        <w:t xml:space="preserve">Shareholders can review the investors’ rights in securities guide on the homepage of the Securities and Commodities Authority’s official </w:t>
      </w:r>
      <w:r w:rsidRPr="00E834ED">
        <w:rPr>
          <w:rFonts w:asciiTheme="majorBidi" w:hAnsiTheme="majorBidi" w:cstheme="majorBidi"/>
          <w:sz w:val="20"/>
          <w:szCs w:val="20"/>
          <w:lang w:bidi="ar-AE"/>
        </w:rPr>
        <w:t>website (</w:t>
      </w:r>
      <w:hyperlink r:id="rId9" w:history="1">
        <w:r w:rsidRPr="00E834ED">
          <w:rPr>
            <w:rStyle w:val="Hyperlink"/>
            <w:rFonts w:asciiTheme="majorBidi" w:hAnsiTheme="majorBidi" w:cstheme="majorBidi"/>
            <w:sz w:val="20"/>
            <w:szCs w:val="20"/>
            <w:lang w:bidi="ar-AE"/>
          </w:rPr>
          <w:t>https://www.sca.gov.ae/Arabic/Pages/Home.aspx</w:t>
        </w:r>
      </w:hyperlink>
      <w:r w:rsidRPr="00E834ED">
        <w:rPr>
          <w:rStyle w:val="Hyperlink"/>
          <w:rFonts w:asciiTheme="majorBidi" w:hAnsiTheme="majorBidi" w:cstheme="majorBidi"/>
          <w:sz w:val="20"/>
          <w:szCs w:val="20"/>
          <w:lang w:bidi="ar-AE"/>
        </w:rPr>
        <w:t>).</w:t>
      </w:r>
      <w:r w:rsidRPr="00E834ED">
        <w:rPr>
          <w:rFonts w:asciiTheme="majorBidi" w:hAnsiTheme="majorBidi" w:cstheme="majorBidi"/>
          <w:sz w:val="20"/>
          <w:szCs w:val="20"/>
          <w:lang w:bidi="ar-AE"/>
        </w:rPr>
        <w:t xml:space="preserve"> </w:t>
      </w:r>
    </w:p>
    <w:p w:rsidR="00337219" w:rsidRPr="003C5415" w:rsidRDefault="00337219" w:rsidP="00337219">
      <w:pPr>
        <w:pStyle w:val="NoSpacing"/>
        <w:bidi w:val="0"/>
        <w:ind w:left="26"/>
        <w:jc w:val="both"/>
        <w:rPr>
          <w:rFonts w:asciiTheme="majorBidi" w:hAnsiTheme="majorBidi" w:cstheme="majorBidi"/>
          <w:sz w:val="20"/>
          <w:szCs w:val="20"/>
          <w:lang w:bidi="ar-AE"/>
        </w:rPr>
      </w:pPr>
    </w:p>
    <w:p w:rsidR="00337219" w:rsidRPr="00850096" w:rsidRDefault="00337219" w:rsidP="00337219">
      <w:pPr>
        <w:bidi w:val="0"/>
        <w:spacing w:line="288" w:lineRule="auto"/>
        <w:ind w:right="-180"/>
        <w:jc w:val="both"/>
        <w:rPr>
          <w:rFonts w:asciiTheme="majorBidi" w:hAnsiTheme="majorBidi" w:cstheme="majorBidi"/>
          <w:sz w:val="20"/>
          <w:szCs w:val="20"/>
          <w:rtl/>
          <w:lang w:bidi="ar-AE"/>
        </w:rPr>
      </w:pPr>
      <w:r w:rsidRPr="00850096">
        <w:rPr>
          <w:rFonts w:asciiTheme="majorBidi" w:hAnsiTheme="majorBidi" w:cstheme="majorBidi"/>
          <w:sz w:val="20"/>
          <w:szCs w:val="20"/>
          <w:lang w:bidi="ar-AE"/>
        </w:rPr>
        <w:t xml:space="preserve">The Board of Directors </w:t>
      </w:r>
    </w:p>
    <w:p w:rsidR="000476AE" w:rsidRDefault="000476AE"/>
    <w:sectPr w:rsidR="000476AE" w:rsidSect="00A87401">
      <w:pgSz w:w="11906" w:h="16838"/>
      <w:pgMar w:top="720" w:right="1440" w:bottom="1440" w:left="81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Khalid Art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07E"/>
    <w:multiLevelType w:val="hybridMultilevel"/>
    <w:tmpl w:val="5E5EA2DA"/>
    <w:lvl w:ilvl="0" w:tplc="E152B4B0">
      <w:start w:val="1"/>
      <w:numFmt w:val="decimal"/>
      <w:lvlText w:val="%1."/>
      <w:lvlJc w:val="left"/>
      <w:pPr>
        <w:tabs>
          <w:tab w:val="num" w:pos="360"/>
        </w:tabs>
        <w:ind w:left="360" w:hanging="360"/>
      </w:pPr>
      <w:rPr>
        <w:color w:val="auto"/>
      </w:rPr>
    </w:lvl>
    <w:lvl w:ilvl="1" w:tplc="590C95E2">
      <w:start w:val="1"/>
      <w:numFmt w:val="lowerLetter"/>
      <w:lvlText w:val="%2."/>
      <w:lvlJc w:val="left"/>
      <w:pPr>
        <w:tabs>
          <w:tab w:val="num" w:pos="1440"/>
        </w:tabs>
        <w:ind w:left="1440" w:hanging="360"/>
      </w:pPr>
    </w:lvl>
    <w:lvl w:ilvl="2" w:tplc="65804B36" w:tentative="1">
      <w:start w:val="1"/>
      <w:numFmt w:val="lowerRoman"/>
      <w:lvlText w:val="%3."/>
      <w:lvlJc w:val="right"/>
      <w:pPr>
        <w:tabs>
          <w:tab w:val="num" w:pos="2160"/>
        </w:tabs>
        <w:ind w:left="2160" w:hanging="180"/>
      </w:pPr>
    </w:lvl>
    <w:lvl w:ilvl="3" w:tplc="A406F7E8" w:tentative="1">
      <w:start w:val="1"/>
      <w:numFmt w:val="decimal"/>
      <w:lvlText w:val="%4."/>
      <w:lvlJc w:val="left"/>
      <w:pPr>
        <w:tabs>
          <w:tab w:val="num" w:pos="2880"/>
        </w:tabs>
        <w:ind w:left="2880" w:hanging="360"/>
      </w:pPr>
    </w:lvl>
    <w:lvl w:ilvl="4" w:tplc="0A5A6068" w:tentative="1">
      <w:start w:val="1"/>
      <w:numFmt w:val="lowerLetter"/>
      <w:lvlText w:val="%5."/>
      <w:lvlJc w:val="left"/>
      <w:pPr>
        <w:tabs>
          <w:tab w:val="num" w:pos="3600"/>
        </w:tabs>
        <w:ind w:left="3600" w:hanging="360"/>
      </w:pPr>
    </w:lvl>
    <w:lvl w:ilvl="5" w:tplc="F2FC3E80" w:tentative="1">
      <w:start w:val="1"/>
      <w:numFmt w:val="lowerRoman"/>
      <w:lvlText w:val="%6."/>
      <w:lvlJc w:val="right"/>
      <w:pPr>
        <w:tabs>
          <w:tab w:val="num" w:pos="4320"/>
        </w:tabs>
        <w:ind w:left="4320" w:hanging="180"/>
      </w:pPr>
    </w:lvl>
    <w:lvl w:ilvl="6" w:tplc="3078B06A" w:tentative="1">
      <w:start w:val="1"/>
      <w:numFmt w:val="decimal"/>
      <w:lvlText w:val="%7."/>
      <w:lvlJc w:val="left"/>
      <w:pPr>
        <w:tabs>
          <w:tab w:val="num" w:pos="5040"/>
        </w:tabs>
        <w:ind w:left="5040" w:hanging="360"/>
      </w:pPr>
    </w:lvl>
    <w:lvl w:ilvl="7" w:tplc="51EA05B4" w:tentative="1">
      <w:start w:val="1"/>
      <w:numFmt w:val="lowerLetter"/>
      <w:lvlText w:val="%8."/>
      <w:lvlJc w:val="left"/>
      <w:pPr>
        <w:tabs>
          <w:tab w:val="num" w:pos="5760"/>
        </w:tabs>
        <w:ind w:left="5760" w:hanging="360"/>
      </w:pPr>
    </w:lvl>
    <w:lvl w:ilvl="8" w:tplc="3B0CA172" w:tentative="1">
      <w:start w:val="1"/>
      <w:numFmt w:val="lowerRoman"/>
      <w:lvlText w:val="%9."/>
      <w:lvlJc w:val="right"/>
      <w:pPr>
        <w:tabs>
          <w:tab w:val="num" w:pos="6480"/>
        </w:tabs>
        <w:ind w:left="6480" w:hanging="180"/>
      </w:pPr>
    </w:lvl>
  </w:abstractNum>
  <w:abstractNum w:abstractNumId="1">
    <w:nsid w:val="70E14176"/>
    <w:multiLevelType w:val="hybridMultilevel"/>
    <w:tmpl w:val="20C8F564"/>
    <w:lvl w:ilvl="0" w:tplc="545E3016">
      <w:start w:val="1"/>
      <w:numFmt w:val="decimal"/>
      <w:lvlText w:val="%1."/>
      <w:lvlJc w:val="left"/>
      <w:pPr>
        <w:ind w:left="26" w:hanging="360"/>
      </w:pPr>
      <w:rPr>
        <w:rFonts w:hint="default"/>
      </w:rPr>
    </w:lvl>
    <w:lvl w:ilvl="1" w:tplc="475C19F0" w:tentative="1">
      <w:start w:val="1"/>
      <w:numFmt w:val="lowerLetter"/>
      <w:lvlText w:val="%2."/>
      <w:lvlJc w:val="left"/>
      <w:pPr>
        <w:ind w:left="1440" w:hanging="360"/>
      </w:pPr>
    </w:lvl>
    <w:lvl w:ilvl="2" w:tplc="6D84D25A" w:tentative="1">
      <w:start w:val="1"/>
      <w:numFmt w:val="lowerRoman"/>
      <w:lvlText w:val="%3."/>
      <w:lvlJc w:val="right"/>
      <w:pPr>
        <w:ind w:left="2160" w:hanging="180"/>
      </w:pPr>
    </w:lvl>
    <w:lvl w:ilvl="3" w:tplc="641E37BA" w:tentative="1">
      <w:start w:val="1"/>
      <w:numFmt w:val="decimal"/>
      <w:lvlText w:val="%4."/>
      <w:lvlJc w:val="left"/>
      <w:pPr>
        <w:ind w:left="2880" w:hanging="360"/>
      </w:pPr>
    </w:lvl>
    <w:lvl w:ilvl="4" w:tplc="5F32874E" w:tentative="1">
      <w:start w:val="1"/>
      <w:numFmt w:val="lowerLetter"/>
      <w:lvlText w:val="%5."/>
      <w:lvlJc w:val="left"/>
      <w:pPr>
        <w:ind w:left="3600" w:hanging="360"/>
      </w:pPr>
    </w:lvl>
    <w:lvl w:ilvl="5" w:tplc="57BADFD4" w:tentative="1">
      <w:start w:val="1"/>
      <w:numFmt w:val="lowerRoman"/>
      <w:lvlText w:val="%6."/>
      <w:lvlJc w:val="right"/>
      <w:pPr>
        <w:ind w:left="4320" w:hanging="180"/>
      </w:pPr>
    </w:lvl>
    <w:lvl w:ilvl="6" w:tplc="65528216" w:tentative="1">
      <w:start w:val="1"/>
      <w:numFmt w:val="decimal"/>
      <w:lvlText w:val="%7."/>
      <w:lvlJc w:val="left"/>
      <w:pPr>
        <w:ind w:left="5040" w:hanging="360"/>
      </w:pPr>
    </w:lvl>
    <w:lvl w:ilvl="7" w:tplc="269C8718" w:tentative="1">
      <w:start w:val="1"/>
      <w:numFmt w:val="lowerLetter"/>
      <w:lvlText w:val="%8."/>
      <w:lvlJc w:val="left"/>
      <w:pPr>
        <w:ind w:left="5760" w:hanging="360"/>
      </w:pPr>
    </w:lvl>
    <w:lvl w:ilvl="8" w:tplc="130618A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19"/>
    <w:rsid w:val="000476AE"/>
    <w:rsid w:val="00337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19"/>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37219"/>
    <w:pPr>
      <w:keepNext/>
      <w:bidi w:val="0"/>
      <w:ind w:left="-567"/>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219"/>
    <w:rPr>
      <w:rFonts w:ascii="Times New Roman" w:eastAsia="Times New Roman" w:hAnsi="Times New Roman" w:cs="Times New Roman"/>
      <w:b/>
      <w:sz w:val="24"/>
      <w:szCs w:val="20"/>
      <w:lang w:val="en-GB"/>
    </w:rPr>
  </w:style>
  <w:style w:type="paragraph" w:styleId="NoSpacing">
    <w:name w:val="No Spacing"/>
    <w:uiPriority w:val="1"/>
    <w:qFormat/>
    <w:rsid w:val="00337219"/>
    <w:pPr>
      <w:bidi/>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219"/>
    <w:rPr>
      <w:color w:val="0000FF" w:themeColor="hyperlink"/>
      <w:u w:val="single"/>
    </w:rPr>
  </w:style>
  <w:style w:type="paragraph" w:styleId="BalloonText">
    <w:name w:val="Balloon Text"/>
    <w:basedOn w:val="Normal"/>
    <w:link w:val="BalloonTextChar"/>
    <w:uiPriority w:val="99"/>
    <w:semiHidden/>
    <w:unhideWhenUsed/>
    <w:rsid w:val="00337219"/>
    <w:rPr>
      <w:rFonts w:ascii="Tahoma" w:hAnsi="Tahoma" w:cs="Tahoma"/>
      <w:sz w:val="16"/>
      <w:szCs w:val="16"/>
    </w:rPr>
  </w:style>
  <w:style w:type="character" w:customStyle="1" w:styleId="BalloonTextChar">
    <w:name w:val="Balloon Text Char"/>
    <w:basedOn w:val="DefaultParagraphFont"/>
    <w:link w:val="BalloonText"/>
    <w:uiPriority w:val="99"/>
    <w:semiHidden/>
    <w:rsid w:val="003372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19"/>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37219"/>
    <w:pPr>
      <w:keepNext/>
      <w:bidi w:val="0"/>
      <w:ind w:left="-567"/>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219"/>
    <w:rPr>
      <w:rFonts w:ascii="Times New Roman" w:eastAsia="Times New Roman" w:hAnsi="Times New Roman" w:cs="Times New Roman"/>
      <w:b/>
      <w:sz w:val="24"/>
      <w:szCs w:val="20"/>
      <w:lang w:val="en-GB"/>
    </w:rPr>
  </w:style>
  <w:style w:type="paragraph" w:styleId="NoSpacing">
    <w:name w:val="No Spacing"/>
    <w:uiPriority w:val="1"/>
    <w:qFormat/>
    <w:rsid w:val="00337219"/>
    <w:pPr>
      <w:bidi/>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219"/>
    <w:rPr>
      <w:color w:val="0000FF" w:themeColor="hyperlink"/>
      <w:u w:val="single"/>
    </w:rPr>
  </w:style>
  <w:style w:type="paragraph" w:styleId="BalloonText">
    <w:name w:val="Balloon Text"/>
    <w:basedOn w:val="Normal"/>
    <w:link w:val="BalloonTextChar"/>
    <w:uiPriority w:val="99"/>
    <w:semiHidden/>
    <w:unhideWhenUsed/>
    <w:rsid w:val="00337219"/>
    <w:rPr>
      <w:rFonts w:ascii="Tahoma" w:hAnsi="Tahoma" w:cs="Tahoma"/>
      <w:sz w:val="16"/>
      <w:szCs w:val="16"/>
    </w:rPr>
  </w:style>
  <w:style w:type="character" w:customStyle="1" w:styleId="BalloonTextChar">
    <w:name w:val="Balloon Text Char"/>
    <w:basedOn w:val="DefaultParagraphFont"/>
    <w:link w:val="BalloonText"/>
    <w:uiPriority w:val="99"/>
    <w:semiHidden/>
    <w:rsid w:val="00337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dc.com" TargetMode="External"/><Relationship Id="rId3" Type="http://schemas.microsoft.com/office/2007/relationships/stylesWithEffects" Target="stylesWithEffects.xml"/><Relationship Id="rId7" Type="http://schemas.openxmlformats.org/officeDocument/2006/relationships/hyperlink" Target="https://www.adx.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a.gov.ae/Arabic/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Shalati</dc:creator>
  <cp:lastModifiedBy>Khaled Shalati</cp:lastModifiedBy>
  <cp:revision>1</cp:revision>
  <dcterms:created xsi:type="dcterms:W3CDTF">2019-03-25T07:41:00Z</dcterms:created>
  <dcterms:modified xsi:type="dcterms:W3CDTF">2019-03-25T07:43:00Z</dcterms:modified>
</cp:coreProperties>
</file>